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8C1CF" w14:textId="431C3927" w:rsidR="007B7816" w:rsidRPr="00B07009" w:rsidRDefault="00F95FBC" w:rsidP="00F42C17">
      <w:r>
        <w:t>June 12</w:t>
      </w:r>
      <w:r w:rsidR="007B7816" w:rsidRPr="00B07009">
        <w:t>, 2018</w:t>
      </w:r>
    </w:p>
    <w:p w14:paraId="2E9FF944" w14:textId="77777777" w:rsidR="007B7816" w:rsidRPr="00B07009" w:rsidRDefault="007B7816" w:rsidP="00F42C17"/>
    <w:p w14:paraId="5BCD84C5" w14:textId="1CF14090" w:rsidR="007B7816" w:rsidRDefault="007B7816" w:rsidP="00F42C17">
      <w:pPr>
        <w:rPr>
          <w:u w:val="single"/>
        </w:rPr>
      </w:pPr>
      <w:r w:rsidRPr="00B07009">
        <w:rPr>
          <w:u w:val="single"/>
        </w:rPr>
        <w:t xml:space="preserve">Submitted via </w:t>
      </w:r>
      <w:hyperlink r:id="rId9" w:history="1">
        <w:r w:rsidR="003061F9" w:rsidRPr="00ED564C">
          <w:rPr>
            <w:rStyle w:val="Hyperlink"/>
          </w:rPr>
          <w:t>www.fhfa.gov/open-for-comment-or-input</w:t>
        </w:r>
      </w:hyperlink>
      <w:r w:rsidR="003061F9">
        <w:rPr>
          <w:u w:val="single"/>
        </w:rPr>
        <w:t xml:space="preserve"> and </w:t>
      </w:r>
      <w:r w:rsidR="003061F9" w:rsidRPr="003061F9">
        <w:rPr>
          <w:u w:val="single"/>
        </w:rPr>
        <w:t>RegComments@fhfa.gov</w:t>
      </w:r>
      <w:r w:rsidR="003061F9">
        <w:rPr>
          <w:u w:val="single"/>
        </w:rPr>
        <w:t>.</w:t>
      </w:r>
    </w:p>
    <w:p w14:paraId="329755FA" w14:textId="77777777" w:rsidR="003061F9" w:rsidRPr="00B07009" w:rsidRDefault="003061F9" w:rsidP="00F42C17"/>
    <w:p w14:paraId="2E1FC5DB" w14:textId="0A71ED40" w:rsidR="007B7816" w:rsidRPr="00B07009" w:rsidRDefault="00EA46B8" w:rsidP="00F42C17">
      <w:r w:rsidRPr="00B07009">
        <w:t>Alfred Pollard</w:t>
      </w:r>
    </w:p>
    <w:p w14:paraId="4FA75FFB" w14:textId="7364A6D5" w:rsidR="00EA46B8" w:rsidRPr="00B07009" w:rsidRDefault="00EA46B8" w:rsidP="00F42C17">
      <w:r w:rsidRPr="00B07009">
        <w:t>General Counsel</w:t>
      </w:r>
    </w:p>
    <w:p w14:paraId="1DEF9CB4" w14:textId="5A3B3503" w:rsidR="00EA46B8" w:rsidRPr="00B07009" w:rsidRDefault="00EA46B8" w:rsidP="00F42C17">
      <w:r w:rsidRPr="00B07009">
        <w:t>Federal Housing Finance Agency</w:t>
      </w:r>
    </w:p>
    <w:p w14:paraId="14353596" w14:textId="5FC500E5" w:rsidR="00EA46B8" w:rsidRPr="00B07009" w:rsidRDefault="00EA46B8" w:rsidP="00F42C17">
      <w:r w:rsidRPr="00B07009">
        <w:t>Eig</w:t>
      </w:r>
      <w:r w:rsidR="00EF42FD" w:rsidRPr="00B07009">
        <w:t>h</w:t>
      </w:r>
      <w:r w:rsidRPr="00B07009">
        <w:t>th Floor</w:t>
      </w:r>
    </w:p>
    <w:p w14:paraId="191C77B4" w14:textId="37062C34" w:rsidR="00EA46B8" w:rsidRPr="00B07009" w:rsidRDefault="00EA46B8" w:rsidP="00F42C17">
      <w:r w:rsidRPr="00B07009">
        <w:t>400 Seventh Street SW</w:t>
      </w:r>
    </w:p>
    <w:p w14:paraId="02DA921F" w14:textId="69D74556" w:rsidR="00EA46B8" w:rsidRPr="00B07009" w:rsidRDefault="00EA46B8" w:rsidP="00F42C17">
      <w:r w:rsidRPr="00B07009">
        <w:t>Washington DC 20219</w:t>
      </w:r>
    </w:p>
    <w:p w14:paraId="13F6209A" w14:textId="77777777" w:rsidR="007B7816" w:rsidRPr="00B07009" w:rsidRDefault="007B7816" w:rsidP="00F42C17"/>
    <w:p w14:paraId="644D76B4" w14:textId="3E45218B" w:rsidR="007B7816" w:rsidRPr="00B07009" w:rsidRDefault="007B7816" w:rsidP="00F42C17">
      <w:pPr>
        <w:rPr>
          <w:b/>
        </w:rPr>
      </w:pPr>
      <w:r w:rsidRPr="00B07009">
        <w:rPr>
          <w:b/>
        </w:rPr>
        <w:t xml:space="preserve">Re: </w:t>
      </w:r>
      <w:r w:rsidR="00D46B2B">
        <w:rPr>
          <w:b/>
        </w:rPr>
        <w:t>Comments/RIN 2590-</w:t>
      </w:r>
      <w:r w:rsidR="00EA46B8" w:rsidRPr="00B07009">
        <w:rPr>
          <w:b/>
        </w:rPr>
        <w:t>AA8</w:t>
      </w:r>
      <w:r w:rsidR="00EF42FD" w:rsidRPr="00B07009">
        <w:rPr>
          <w:b/>
        </w:rPr>
        <w:t>3 Affordable Housing Program Am</w:t>
      </w:r>
      <w:r w:rsidR="00EA46B8" w:rsidRPr="00B07009">
        <w:rPr>
          <w:b/>
        </w:rPr>
        <w:t>endments</w:t>
      </w:r>
      <w:r w:rsidRPr="00B07009">
        <w:rPr>
          <w:b/>
        </w:rPr>
        <w:t xml:space="preserve"> </w:t>
      </w:r>
    </w:p>
    <w:p w14:paraId="0ACFD187" w14:textId="77777777" w:rsidR="007B7816" w:rsidRPr="00B07009" w:rsidRDefault="007B7816" w:rsidP="00F42C17"/>
    <w:p w14:paraId="61A5DE5D" w14:textId="3DA9BF96" w:rsidR="007B7816" w:rsidRPr="00B07009" w:rsidRDefault="007B7816" w:rsidP="00F42C17">
      <w:r w:rsidRPr="00B07009">
        <w:t>Dear General Counsel</w:t>
      </w:r>
      <w:r w:rsidR="00843683" w:rsidRPr="00B07009">
        <w:t xml:space="preserve"> Pollard</w:t>
      </w:r>
      <w:r w:rsidRPr="00B07009">
        <w:t>:</w:t>
      </w:r>
    </w:p>
    <w:p w14:paraId="33508A13" w14:textId="77777777" w:rsidR="007B7816" w:rsidRPr="00B07009" w:rsidRDefault="007B7816" w:rsidP="00F42C17">
      <w:pPr>
        <w:rPr>
          <w:b/>
        </w:rPr>
      </w:pPr>
    </w:p>
    <w:p w14:paraId="19D39416" w14:textId="16E28274" w:rsidR="00843683" w:rsidRPr="00B07009" w:rsidRDefault="007B7816" w:rsidP="00F42C17">
      <w:r w:rsidRPr="00B07009">
        <w:t>Thank you for opportunity to submit the following comments on behalf of the Consortium for Citizens with Disabilities (CCD) Housing Task Force</w:t>
      </w:r>
      <w:r w:rsidR="00A57074" w:rsidRPr="00B07009">
        <w:t xml:space="preserve"> (HTF) </w:t>
      </w:r>
      <w:r w:rsidRPr="00B07009">
        <w:t xml:space="preserve">regarding the </w:t>
      </w:r>
      <w:r w:rsidR="00843683" w:rsidRPr="00B07009">
        <w:t>Federal Housing Finance Agency March 14, 2018 Federal Register Notice “Affordable Housing Program Amendments”.</w:t>
      </w:r>
    </w:p>
    <w:p w14:paraId="79DD54E6" w14:textId="77777777" w:rsidR="007B7816" w:rsidRPr="00B07009" w:rsidRDefault="007B7816" w:rsidP="00F42C17"/>
    <w:p w14:paraId="3B0F014D" w14:textId="77777777" w:rsidR="007B7816" w:rsidRPr="00B07009" w:rsidRDefault="007B7816" w:rsidP="00F42C17">
      <w:r w:rsidRPr="00B07009">
        <w:rPr>
          <w:rFonts w:eastAsia="Calibri"/>
        </w:rPr>
        <w:t xml:space="preserve">CCD is a working coalition of national consumer, advocacy, provider, and professional organizations working together with and on behalf of the over 57 million children and adults with disabilities and their families living in the United States. CCD advocates for national public policy that ensures full equality, self-determination, independence, empowerment, integration and inclusion of children and adults with disabilities in all aspects of society. </w:t>
      </w:r>
    </w:p>
    <w:p w14:paraId="49B1C9A7" w14:textId="77777777" w:rsidR="007B7816" w:rsidRPr="00B07009" w:rsidRDefault="007B7816" w:rsidP="00F42C17"/>
    <w:p w14:paraId="30BD4DEA" w14:textId="22575B0D" w:rsidR="006C72F3" w:rsidRPr="00B07009" w:rsidRDefault="00A57074" w:rsidP="00F42C17">
      <w:pPr>
        <w:rPr>
          <w:color w:val="000000"/>
        </w:rPr>
      </w:pPr>
      <w:r w:rsidRPr="00B07009">
        <w:rPr>
          <w:color w:val="000000"/>
        </w:rPr>
        <w:t xml:space="preserve">The </w:t>
      </w:r>
      <w:r w:rsidR="00974EC7" w:rsidRPr="00B07009">
        <w:rPr>
          <w:color w:val="000000"/>
        </w:rPr>
        <w:t xml:space="preserve">CCD </w:t>
      </w:r>
      <w:r w:rsidRPr="00B07009">
        <w:rPr>
          <w:color w:val="000000"/>
        </w:rPr>
        <w:t xml:space="preserve">HTF </w:t>
      </w:r>
      <w:r w:rsidR="00974EC7" w:rsidRPr="00B07009">
        <w:rPr>
          <w:color w:val="000000"/>
        </w:rPr>
        <w:t xml:space="preserve">commends the Federal Housing Finance Agency (FHFA) </w:t>
      </w:r>
      <w:r w:rsidR="006C72F3" w:rsidRPr="00B07009">
        <w:rPr>
          <w:color w:val="000000"/>
        </w:rPr>
        <w:t>for identifying the need for housing for people with disabilities as a</w:t>
      </w:r>
      <w:r w:rsidR="00CF3C0B" w:rsidRPr="00B07009">
        <w:rPr>
          <w:color w:val="000000"/>
        </w:rPr>
        <w:t>n</w:t>
      </w:r>
      <w:r w:rsidR="006C72F3" w:rsidRPr="00B07009">
        <w:rPr>
          <w:color w:val="000000"/>
        </w:rPr>
        <w:t xml:space="preserve"> underserved population and including </w:t>
      </w:r>
      <w:r w:rsidR="00C42E7D" w:rsidRPr="00B07009">
        <w:rPr>
          <w:color w:val="000000"/>
        </w:rPr>
        <w:t xml:space="preserve">it specifically under </w:t>
      </w:r>
      <w:r w:rsidR="00F42C17" w:rsidRPr="00B07009">
        <w:rPr>
          <w:color w:val="000000"/>
        </w:rPr>
        <w:t>“</w:t>
      </w:r>
      <w:r w:rsidR="00C42E7D" w:rsidRPr="00B07009">
        <w:rPr>
          <w:color w:val="000000"/>
        </w:rPr>
        <w:t>(ii) Housi</w:t>
      </w:r>
      <w:r w:rsidR="006C72F3" w:rsidRPr="00B07009">
        <w:rPr>
          <w:color w:val="000000"/>
        </w:rPr>
        <w:t>ng for Special Needs</w:t>
      </w:r>
      <w:r w:rsidR="00F42C17" w:rsidRPr="00B07009">
        <w:rPr>
          <w:color w:val="000000"/>
        </w:rPr>
        <w:t>”</w:t>
      </w:r>
      <w:r w:rsidR="006C72F3" w:rsidRPr="00B07009">
        <w:rPr>
          <w:color w:val="000000"/>
        </w:rPr>
        <w:t xml:space="preserve"> as well a</w:t>
      </w:r>
      <w:r w:rsidR="00974EC7" w:rsidRPr="00B07009">
        <w:rPr>
          <w:color w:val="000000"/>
        </w:rPr>
        <w:t xml:space="preserve">s </w:t>
      </w:r>
      <w:r w:rsidR="00F42C17" w:rsidRPr="00B07009">
        <w:rPr>
          <w:color w:val="000000"/>
        </w:rPr>
        <w:t>“</w:t>
      </w:r>
      <w:r w:rsidR="00974EC7" w:rsidRPr="00B07009">
        <w:rPr>
          <w:color w:val="000000"/>
        </w:rPr>
        <w:t>(iii</w:t>
      </w:r>
      <w:r w:rsidR="00932B1B" w:rsidRPr="00B07009">
        <w:rPr>
          <w:color w:val="000000"/>
        </w:rPr>
        <w:t>) Housin</w:t>
      </w:r>
      <w:r w:rsidR="00974EC7" w:rsidRPr="00B07009">
        <w:rPr>
          <w:color w:val="000000"/>
        </w:rPr>
        <w:t>g for other Targeted P</w:t>
      </w:r>
      <w:r w:rsidR="00C42E7D" w:rsidRPr="00B07009">
        <w:rPr>
          <w:color w:val="000000"/>
        </w:rPr>
        <w:t>opulatio</w:t>
      </w:r>
      <w:r w:rsidR="006C72F3" w:rsidRPr="00B07009">
        <w:rPr>
          <w:color w:val="000000"/>
        </w:rPr>
        <w:t>ns</w:t>
      </w:r>
      <w:r w:rsidR="00F42C17" w:rsidRPr="00B07009">
        <w:rPr>
          <w:color w:val="000000"/>
        </w:rPr>
        <w:t>”</w:t>
      </w:r>
      <w:r w:rsidR="006C72F3" w:rsidRPr="00B07009">
        <w:rPr>
          <w:color w:val="000000"/>
        </w:rPr>
        <w:t xml:space="preserve">. </w:t>
      </w:r>
    </w:p>
    <w:p w14:paraId="316763AE" w14:textId="77777777" w:rsidR="00974EC7" w:rsidRPr="00B07009" w:rsidRDefault="00974EC7">
      <w:pPr>
        <w:rPr>
          <w:color w:val="000000"/>
        </w:rPr>
      </w:pPr>
    </w:p>
    <w:p w14:paraId="6962D0D0" w14:textId="77777777" w:rsidR="006C72F3" w:rsidRPr="00B07009" w:rsidRDefault="006C72F3">
      <w:pPr>
        <w:rPr>
          <w:b/>
          <w:color w:val="000000"/>
        </w:rPr>
      </w:pPr>
      <w:r w:rsidRPr="00B07009">
        <w:rPr>
          <w:b/>
          <w:color w:val="000000"/>
        </w:rPr>
        <w:t xml:space="preserve">There is significant need for housing for people with disabilities. </w:t>
      </w:r>
    </w:p>
    <w:p w14:paraId="5F6D1978" w14:textId="77777777" w:rsidR="00974EC7" w:rsidRPr="00B07009" w:rsidRDefault="00974EC7" w:rsidP="004E4405">
      <w:pPr>
        <w:pStyle w:val="Pa5"/>
        <w:spacing w:line="240" w:lineRule="auto"/>
        <w:rPr>
          <w:rFonts w:ascii="Times New Roman" w:hAnsi="Times New Roman" w:cs="Times New Roman"/>
          <w:color w:val="000000"/>
        </w:rPr>
      </w:pPr>
    </w:p>
    <w:p w14:paraId="4325CC7B" w14:textId="7473095D" w:rsidR="00C42E7D" w:rsidRPr="00B07009" w:rsidRDefault="006C72F3" w:rsidP="004E4405">
      <w:pPr>
        <w:pStyle w:val="Pa5"/>
        <w:spacing w:line="240" w:lineRule="auto"/>
        <w:rPr>
          <w:rFonts w:ascii="Times New Roman" w:hAnsi="Times New Roman" w:cs="Times New Roman"/>
          <w:color w:val="000000"/>
        </w:rPr>
      </w:pPr>
      <w:r w:rsidRPr="00B07009">
        <w:rPr>
          <w:rFonts w:ascii="Times New Roman" w:hAnsi="Times New Roman" w:cs="Times New Roman"/>
          <w:color w:val="000000"/>
        </w:rPr>
        <w:t xml:space="preserve">As discussed in </w:t>
      </w:r>
      <w:r w:rsidRPr="00B07009">
        <w:rPr>
          <w:rFonts w:ascii="Times New Roman" w:hAnsi="Times New Roman" w:cs="Times New Roman"/>
          <w:i/>
          <w:color w:val="000000"/>
        </w:rPr>
        <w:t>Priced Ou</w:t>
      </w:r>
      <w:r w:rsidR="009D6B4A" w:rsidRPr="00B07009">
        <w:rPr>
          <w:rFonts w:ascii="Times New Roman" w:hAnsi="Times New Roman" w:cs="Times New Roman"/>
          <w:i/>
          <w:color w:val="000000"/>
        </w:rPr>
        <w:t>t</w:t>
      </w:r>
      <w:r w:rsidR="00974EC7" w:rsidRPr="00B07009">
        <w:rPr>
          <w:rStyle w:val="FootnoteReference"/>
          <w:rFonts w:ascii="Times New Roman" w:hAnsi="Times New Roman" w:cs="Times New Roman"/>
          <w:i/>
          <w:color w:val="000000"/>
        </w:rPr>
        <w:footnoteReference w:id="1"/>
      </w:r>
      <w:r w:rsidRPr="00B07009">
        <w:rPr>
          <w:rFonts w:ascii="Times New Roman" w:hAnsi="Times New Roman" w:cs="Times New Roman"/>
          <w:color w:val="000000"/>
        </w:rPr>
        <w:t>, approximately 4.8 million adults with disabilities who are between the ages of 18 and 64 received income from the Supplemental Security Income (SSI) program in 2016.</w:t>
      </w:r>
      <w:r w:rsidRPr="00B07009">
        <w:rPr>
          <w:rStyle w:val="A10"/>
          <w:rFonts w:ascii="Times New Roman" w:hAnsi="Times New Roman" w:cs="Times New Roman"/>
          <w:sz w:val="24"/>
          <w:szCs w:val="24"/>
        </w:rPr>
        <w:t xml:space="preserve"> </w:t>
      </w:r>
      <w:r w:rsidRPr="00B07009">
        <w:rPr>
          <w:rFonts w:ascii="Times New Roman" w:hAnsi="Times New Roman" w:cs="Times New Roman"/>
          <w:color w:val="000000"/>
        </w:rPr>
        <w:t xml:space="preserve">The enormity of rental housing costs relative to monthly SSI payments affects the daily lives of millions of adults with disabilities. Unless they have rental assistance or live with other household members who have additional income, virtually everyone in this group has great difficulty finding housing that is affordable.  </w:t>
      </w:r>
    </w:p>
    <w:p w14:paraId="2F1D3C9D" w14:textId="77777777" w:rsidR="00C42E7D" w:rsidRPr="00B07009" w:rsidRDefault="00C42E7D" w:rsidP="004E4405">
      <w:pPr>
        <w:pStyle w:val="Pa5"/>
        <w:spacing w:line="240" w:lineRule="auto"/>
        <w:rPr>
          <w:rFonts w:ascii="Times New Roman" w:hAnsi="Times New Roman" w:cs="Times New Roman"/>
          <w:color w:val="000000"/>
        </w:rPr>
      </w:pPr>
    </w:p>
    <w:p w14:paraId="0EF1AE5B" w14:textId="499D8404" w:rsidR="006C72F3" w:rsidRPr="00B07009" w:rsidRDefault="00F42C17" w:rsidP="004E4405">
      <w:pPr>
        <w:pStyle w:val="Pa5"/>
        <w:spacing w:line="240" w:lineRule="auto"/>
        <w:rPr>
          <w:rStyle w:val="A10"/>
          <w:rFonts w:ascii="Times New Roman" w:hAnsi="Times New Roman" w:cs="Times New Roman"/>
          <w:sz w:val="24"/>
          <w:szCs w:val="24"/>
        </w:rPr>
      </w:pPr>
      <w:r w:rsidRPr="00B07009">
        <w:rPr>
          <w:rFonts w:ascii="Times New Roman" w:hAnsi="Times New Roman" w:cs="Times New Roman"/>
          <w:color w:val="000000"/>
        </w:rPr>
        <w:t>Approximately</w:t>
      </w:r>
      <w:r w:rsidR="006C72F3" w:rsidRPr="00B07009">
        <w:rPr>
          <w:rFonts w:ascii="Times New Roman" w:hAnsi="Times New Roman" w:cs="Times New Roman"/>
          <w:color w:val="000000"/>
        </w:rPr>
        <w:t xml:space="preserve"> 1.2 million households of single non-elderly adults with disabilities or non-elderly adults with disabilities who have at least one child receive rental assistance through the U.S. Department of Housing and Urban Development (HUD)</w:t>
      </w:r>
      <w:r w:rsidR="00C42E7D" w:rsidRPr="00B07009">
        <w:rPr>
          <w:rFonts w:ascii="Times New Roman" w:hAnsi="Times New Roman" w:cs="Times New Roman"/>
          <w:color w:val="000000"/>
        </w:rPr>
        <w:t xml:space="preserve"> or U</w:t>
      </w:r>
      <w:r w:rsidRPr="00B07009">
        <w:rPr>
          <w:rFonts w:ascii="Times New Roman" w:hAnsi="Times New Roman" w:cs="Times New Roman"/>
          <w:color w:val="000000"/>
        </w:rPr>
        <w:t>.S. Department of Agriculture (U</w:t>
      </w:r>
      <w:r w:rsidR="00C42E7D" w:rsidRPr="00B07009">
        <w:rPr>
          <w:rFonts w:ascii="Times New Roman" w:hAnsi="Times New Roman" w:cs="Times New Roman"/>
          <w:color w:val="000000"/>
        </w:rPr>
        <w:t>SDA</w:t>
      </w:r>
      <w:r w:rsidRPr="00B07009">
        <w:rPr>
          <w:rFonts w:ascii="Times New Roman" w:hAnsi="Times New Roman" w:cs="Times New Roman"/>
          <w:color w:val="000000"/>
        </w:rPr>
        <w:t>)</w:t>
      </w:r>
      <w:r w:rsidRPr="00B07009">
        <w:rPr>
          <w:rStyle w:val="FootnoteReference"/>
          <w:rFonts w:ascii="Times New Roman" w:hAnsi="Times New Roman" w:cs="Times New Roman"/>
          <w:color w:val="000000"/>
        </w:rPr>
        <w:footnoteReference w:id="2"/>
      </w:r>
      <w:r w:rsidRPr="00B07009">
        <w:rPr>
          <w:rFonts w:ascii="Times New Roman" w:hAnsi="Times New Roman" w:cs="Times New Roman"/>
          <w:color w:val="000000"/>
        </w:rPr>
        <w:t xml:space="preserve"> – but many </w:t>
      </w:r>
      <w:r w:rsidR="006C72F3" w:rsidRPr="00B07009">
        <w:rPr>
          <w:rFonts w:ascii="Times New Roman" w:hAnsi="Times New Roman" w:cs="Times New Roman"/>
          <w:color w:val="000000"/>
        </w:rPr>
        <w:t>others are not so lucky.</w:t>
      </w:r>
      <w:r w:rsidRPr="00B07009">
        <w:rPr>
          <w:rFonts w:ascii="Times New Roman" w:hAnsi="Times New Roman" w:cs="Times New Roman"/>
          <w:color w:val="000000"/>
        </w:rPr>
        <w:t xml:space="preserve"> Instead, many people with disabilities are:</w:t>
      </w:r>
    </w:p>
    <w:p w14:paraId="68BA9706" w14:textId="77777777" w:rsidR="006C72F3" w:rsidRPr="00B07009" w:rsidRDefault="006C72F3" w:rsidP="004E4405">
      <w:pPr>
        <w:pStyle w:val="Pa5"/>
        <w:spacing w:line="240" w:lineRule="auto"/>
        <w:rPr>
          <w:rFonts w:ascii="Times New Roman" w:hAnsi="Times New Roman" w:cs="Times New Roman"/>
          <w:color w:val="000000"/>
        </w:rPr>
      </w:pPr>
    </w:p>
    <w:p w14:paraId="1FC6F223" w14:textId="3E82ED08" w:rsidR="006C72F3" w:rsidRPr="00B07009" w:rsidRDefault="006C72F3" w:rsidP="004E4405">
      <w:pPr>
        <w:pStyle w:val="Pa5"/>
        <w:numPr>
          <w:ilvl w:val="0"/>
          <w:numId w:val="33"/>
        </w:numPr>
        <w:spacing w:line="240" w:lineRule="auto"/>
        <w:rPr>
          <w:rFonts w:ascii="Times New Roman" w:hAnsi="Times New Roman" w:cs="Times New Roman"/>
          <w:color w:val="000000"/>
        </w:rPr>
      </w:pPr>
      <w:r w:rsidRPr="00B07009">
        <w:rPr>
          <w:rFonts w:ascii="Times New Roman" w:hAnsi="Times New Roman" w:cs="Times New Roman"/>
          <w:i/>
          <w:color w:val="000000"/>
        </w:rPr>
        <w:t>Rent Burdened</w:t>
      </w:r>
      <w:r w:rsidRPr="00B07009">
        <w:rPr>
          <w:rFonts w:ascii="Times New Roman" w:hAnsi="Times New Roman" w:cs="Times New Roman"/>
          <w:color w:val="000000"/>
        </w:rPr>
        <w:t xml:space="preserve">: In its 2017 </w:t>
      </w:r>
      <w:r w:rsidRPr="00B07009">
        <w:rPr>
          <w:rFonts w:ascii="Times New Roman" w:hAnsi="Times New Roman" w:cs="Times New Roman"/>
          <w:i/>
          <w:iCs/>
          <w:color w:val="000000"/>
        </w:rPr>
        <w:t>Worst Case Housing Needs Report to Congress</w:t>
      </w:r>
      <w:r w:rsidRPr="00B07009">
        <w:rPr>
          <w:rFonts w:ascii="Times New Roman" w:hAnsi="Times New Roman" w:cs="Times New Roman"/>
          <w:color w:val="000000"/>
        </w:rPr>
        <w:t>, HUD found that 1.39 million worst case needs households included a non-elderly person with disabilities, a 28% increase from 2013.</w:t>
      </w:r>
      <w:r w:rsidRPr="00B07009">
        <w:rPr>
          <w:rStyle w:val="A10"/>
          <w:rFonts w:ascii="Times New Roman" w:hAnsi="Times New Roman" w:cs="Times New Roman"/>
          <w:sz w:val="24"/>
          <w:szCs w:val="24"/>
        </w:rPr>
        <w:t xml:space="preserve">7 </w:t>
      </w:r>
      <w:r w:rsidRPr="00B07009">
        <w:rPr>
          <w:rFonts w:ascii="Times New Roman" w:hAnsi="Times New Roman" w:cs="Times New Roman"/>
          <w:color w:val="000000"/>
        </w:rPr>
        <w:t xml:space="preserve">As researcher Matthew Desmond’s recent work has illustrated, rent burdened households are at high risk of eviction. </w:t>
      </w:r>
    </w:p>
    <w:p w14:paraId="2E43DEAA" w14:textId="77777777" w:rsidR="006C72F3" w:rsidRPr="00B07009" w:rsidRDefault="006C72F3" w:rsidP="004E4405">
      <w:pPr>
        <w:pStyle w:val="Pa5"/>
        <w:spacing w:line="240" w:lineRule="auto"/>
        <w:rPr>
          <w:rFonts w:ascii="Times New Roman" w:hAnsi="Times New Roman" w:cs="Times New Roman"/>
          <w:color w:val="000000"/>
        </w:rPr>
      </w:pPr>
    </w:p>
    <w:p w14:paraId="7CC1F134" w14:textId="1480FFF8" w:rsidR="006C72F3" w:rsidRPr="00B07009" w:rsidRDefault="006C72F3" w:rsidP="004E4405">
      <w:pPr>
        <w:pStyle w:val="Pa5"/>
        <w:numPr>
          <w:ilvl w:val="0"/>
          <w:numId w:val="33"/>
        </w:numPr>
        <w:spacing w:line="240" w:lineRule="auto"/>
        <w:rPr>
          <w:rFonts w:ascii="Times New Roman" w:hAnsi="Times New Roman" w:cs="Times New Roman"/>
          <w:color w:val="000000"/>
        </w:rPr>
      </w:pPr>
      <w:r w:rsidRPr="00B07009">
        <w:rPr>
          <w:rFonts w:ascii="Times New Roman" w:hAnsi="Times New Roman" w:cs="Times New Roman"/>
          <w:i/>
          <w:color w:val="000000"/>
        </w:rPr>
        <w:t>Homeless</w:t>
      </w:r>
      <w:r w:rsidRPr="00B07009">
        <w:rPr>
          <w:rFonts w:ascii="Times New Roman" w:hAnsi="Times New Roman" w:cs="Times New Roman"/>
          <w:color w:val="000000"/>
        </w:rPr>
        <w:t>: The 201</w:t>
      </w:r>
      <w:r w:rsidR="00F22C2E" w:rsidRPr="00B07009">
        <w:rPr>
          <w:rFonts w:ascii="Times New Roman" w:hAnsi="Times New Roman" w:cs="Times New Roman"/>
          <w:color w:val="000000"/>
        </w:rPr>
        <w:t>7</w:t>
      </w:r>
      <w:r w:rsidRPr="00B07009">
        <w:rPr>
          <w:rFonts w:ascii="Times New Roman" w:hAnsi="Times New Roman" w:cs="Times New Roman"/>
          <w:color w:val="000000"/>
        </w:rPr>
        <w:t xml:space="preserve"> </w:t>
      </w:r>
      <w:r w:rsidR="00CF3C0B" w:rsidRPr="00B07009">
        <w:rPr>
          <w:rFonts w:ascii="Times New Roman" w:hAnsi="Times New Roman" w:cs="Times New Roman"/>
          <w:color w:val="000000"/>
        </w:rPr>
        <w:t>Annual Homeless Assessment Report (</w:t>
      </w:r>
      <w:r w:rsidRPr="00B07009">
        <w:rPr>
          <w:rFonts w:ascii="Times New Roman" w:hAnsi="Times New Roman" w:cs="Times New Roman"/>
          <w:color w:val="000000"/>
        </w:rPr>
        <w:t>AHAR</w:t>
      </w:r>
      <w:r w:rsidR="00CF3C0B" w:rsidRPr="00B07009">
        <w:rPr>
          <w:rFonts w:ascii="Times New Roman" w:hAnsi="Times New Roman" w:cs="Times New Roman"/>
          <w:color w:val="000000"/>
        </w:rPr>
        <w:t>)</w:t>
      </w:r>
      <w:r w:rsidRPr="00B07009">
        <w:rPr>
          <w:rFonts w:ascii="Times New Roman" w:hAnsi="Times New Roman" w:cs="Times New Roman"/>
          <w:color w:val="000000"/>
        </w:rPr>
        <w:t xml:space="preserve"> found approximately</w:t>
      </w:r>
      <w:r w:rsidR="00F22C2E" w:rsidRPr="00B07009">
        <w:rPr>
          <w:rFonts w:ascii="Times New Roman" w:hAnsi="Times New Roman" w:cs="Times New Roman"/>
          <w:color w:val="000000"/>
        </w:rPr>
        <w:t xml:space="preserve"> </w:t>
      </w:r>
      <w:r w:rsidRPr="00B07009">
        <w:rPr>
          <w:rFonts w:ascii="Times New Roman" w:hAnsi="Times New Roman" w:cs="Times New Roman"/>
          <w:color w:val="000000"/>
        </w:rPr>
        <w:t>1</w:t>
      </w:r>
      <w:r w:rsidR="004915BE" w:rsidRPr="00B07009">
        <w:rPr>
          <w:rFonts w:ascii="Times New Roman" w:hAnsi="Times New Roman" w:cs="Times New Roman"/>
          <w:color w:val="000000"/>
        </w:rPr>
        <w:t>11</w:t>
      </w:r>
      <w:r w:rsidRPr="00B07009">
        <w:rPr>
          <w:rFonts w:ascii="Times New Roman" w:hAnsi="Times New Roman" w:cs="Times New Roman"/>
          <w:color w:val="000000"/>
        </w:rPr>
        <w:t>,</w:t>
      </w:r>
      <w:r w:rsidR="004915BE" w:rsidRPr="00B07009">
        <w:rPr>
          <w:rFonts w:ascii="Times New Roman" w:hAnsi="Times New Roman" w:cs="Times New Roman"/>
          <w:color w:val="000000"/>
        </w:rPr>
        <w:t>9</w:t>
      </w:r>
      <w:r w:rsidRPr="00B07009">
        <w:rPr>
          <w:rFonts w:ascii="Times New Roman" w:hAnsi="Times New Roman" w:cs="Times New Roman"/>
          <w:color w:val="000000"/>
        </w:rPr>
        <w:t xml:space="preserve">00 persons with serious mental illness, </w:t>
      </w:r>
      <w:r w:rsidR="004915BE" w:rsidRPr="00B07009">
        <w:rPr>
          <w:rFonts w:ascii="Times New Roman" w:hAnsi="Times New Roman" w:cs="Times New Roman"/>
          <w:color w:val="000000"/>
        </w:rPr>
        <w:t>89</w:t>
      </w:r>
      <w:r w:rsidRPr="00B07009">
        <w:rPr>
          <w:rFonts w:ascii="Times New Roman" w:hAnsi="Times New Roman" w:cs="Times New Roman"/>
          <w:color w:val="000000"/>
        </w:rPr>
        <w:t>,</w:t>
      </w:r>
      <w:r w:rsidR="004915BE" w:rsidRPr="00B07009">
        <w:rPr>
          <w:rFonts w:ascii="Times New Roman" w:hAnsi="Times New Roman" w:cs="Times New Roman"/>
          <w:color w:val="000000"/>
        </w:rPr>
        <w:t>3</w:t>
      </w:r>
      <w:r w:rsidRPr="00B07009">
        <w:rPr>
          <w:rFonts w:ascii="Times New Roman" w:hAnsi="Times New Roman" w:cs="Times New Roman"/>
          <w:color w:val="000000"/>
        </w:rPr>
        <w:t xml:space="preserve">00 persons with chronic substance abuse, and </w:t>
      </w:r>
      <w:r w:rsidR="004915BE" w:rsidRPr="00B07009">
        <w:rPr>
          <w:rFonts w:ascii="Times New Roman" w:hAnsi="Times New Roman" w:cs="Times New Roman"/>
          <w:color w:val="000000"/>
        </w:rPr>
        <w:t>10</w:t>
      </w:r>
      <w:r w:rsidRPr="00B07009">
        <w:rPr>
          <w:rFonts w:ascii="Times New Roman" w:hAnsi="Times New Roman" w:cs="Times New Roman"/>
          <w:color w:val="000000"/>
        </w:rPr>
        <w:t>,</w:t>
      </w:r>
      <w:r w:rsidR="004915BE" w:rsidRPr="00B07009">
        <w:rPr>
          <w:rFonts w:ascii="Times New Roman" w:hAnsi="Times New Roman" w:cs="Times New Roman"/>
          <w:color w:val="000000"/>
        </w:rPr>
        <w:t>2</w:t>
      </w:r>
      <w:r w:rsidRPr="00B07009">
        <w:rPr>
          <w:rFonts w:ascii="Times New Roman" w:hAnsi="Times New Roman" w:cs="Times New Roman"/>
          <w:color w:val="000000"/>
        </w:rPr>
        <w:t xml:space="preserve">00 persons with HIV/AIDS who were homeless. </w:t>
      </w:r>
      <w:r w:rsidR="004915BE" w:rsidRPr="00B07009">
        <w:rPr>
          <w:rFonts w:ascii="Times New Roman" w:hAnsi="Times New Roman" w:cs="Times New Roman"/>
          <w:color w:val="000000"/>
        </w:rPr>
        <w:t xml:space="preserve">The report also identified approximately 90,000 “chronically homeless” people (people with disabilities who have been continuously homeless for a year or more or have experienced </w:t>
      </w:r>
      <w:r w:rsidR="00590353" w:rsidRPr="00B07009">
        <w:rPr>
          <w:rFonts w:ascii="Times New Roman" w:hAnsi="Times New Roman" w:cs="Times New Roman"/>
          <w:color w:val="000000"/>
        </w:rPr>
        <w:t xml:space="preserve">4 or more extended </w:t>
      </w:r>
      <w:r w:rsidR="004915BE" w:rsidRPr="00B07009">
        <w:rPr>
          <w:rFonts w:ascii="Times New Roman" w:hAnsi="Times New Roman" w:cs="Times New Roman"/>
          <w:color w:val="000000"/>
        </w:rPr>
        <w:t>episodes of homelessness in the last 3 years).</w:t>
      </w:r>
      <w:r w:rsidR="004915BE" w:rsidRPr="00B07009">
        <w:rPr>
          <w:rStyle w:val="FootnoteReference"/>
          <w:rFonts w:ascii="Times New Roman" w:hAnsi="Times New Roman" w:cs="Times New Roman"/>
          <w:color w:val="000000"/>
        </w:rPr>
        <w:footnoteReference w:id="3"/>
      </w:r>
    </w:p>
    <w:p w14:paraId="374F42BD" w14:textId="77777777" w:rsidR="006C72F3" w:rsidRPr="00B07009" w:rsidRDefault="006C72F3"/>
    <w:p w14:paraId="76C02765" w14:textId="26959AC5" w:rsidR="006C72F3" w:rsidRPr="00B07009" w:rsidRDefault="006C72F3" w:rsidP="004E4405">
      <w:pPr>
        <w:pStyle w:val="ListParagraph"/>
        <w:numPr>
          <w:ilvl w:val="0"/>
          <w:numId w:val="33"/>
        </w:numPr>
        <w:spacing w:after="0" w:line="240" w:lineRule="auto"/>
        <w:rPr>
          <w:rFonts w:ascii="Times New Roman" w:hAnsi="Times New Roman" w:cs="Times New Roman"/>
          <w:color w:val="000000"/>
        </w:rPr>
      </w:pPr>
      <w:r w:rsidRPr="00B07009">
        <w:rPr>
          <w:rFonts w:ascii="Times New Roman" w:hAnsi="Times New Roman" w:cs="Times New Roman"/>
          <w:i/>
          <w:sz w:val="24"/>
          <w:szCs w:val="24"/>
        </w:rPr>
        <w:t>Living in Institutions</w:t>
      </w:r>
      <w:r w:rsidRPr="00B07009">
        <w:rPr>
          <w:rFonts w:ascii="Times New Roman" w:hAnsi="Times New Roman" w:cs="Times New Roman"/>
          <w:sz w:val="24"/>
          <w:szCs w:val="24"/>
        </w:rPr>
        <w:t xml:space="preserve">: </w:t>
      </w:r>
      <w:r w:rsidRPr="00B07009">
        <w:rPr>
          <w:rFonts w:ascii="Times New Roman" w:hAnsi="Times New Roman" w:cs="Times New Roman"/>
          <w:color w:val="000000"/>
          <w:sz w:val="24"/>
          <w:szCs w:val="24"/>
        </w:rPr>
        <w:t>The reported number of non-elderly persons with disabilities living in nursing facilities is between 200,000 and 300,000.</w:t>
      </w:r>
      <w:r w:rsidR="004915BE" w:rsidRPr="00B07009">
        <w:rPr>
          <w:rStyle w:val="FootnoteReference"/>
          <w:rFonts w:ascii="Times New Roman" w:hAnsi="Times New Roman" w:cs="Times New Roman"/>
          <w:color w:val="000000"/>
          <w:sz w:val="24"/>
          <w:szCs w:val="24"/>
        </w:rPr>
        <w:footnoteReference w:id="4"/>
      </w:r>
      <w:r w:rsidRPr="00B07009">
        <w:rPr>
          <w:rStyle w:val="A10"/>
          <w:rFonts w:ascii="Times New Roman" w:hAnsi="Times New Roman" w:cs="Times New Roman"/>
          <w:sz w:val="24"/>
          <w:szCs w:val="24"/>
        </w:rPr>
        <w:t xml:space="preserve"> </w:t>
      </w:r>
      <w:r w:rsidRPr="00B07009">
        <w:rPr>
          <w:rFonts w:ascii="Times New Roman" w:hAnsi="Times New Roman" w:cs="Times New Roman"/>
          <w:color w:val="000000"/>
          <w:sz w:val="24"/>
          <w:szCs w:val="24"/>
        </w:rPr>
        <w:t xml:space="preserve">Mathematica’s most recent annual evaluation of the Money Follows the Person (MFP)  program found almost 190,000 non-elderly people with physical disabilities, over 77,000 with intellectual or developmental disabilities (I/DD), and over 34,000 with psychiatric disabilities living in Medicaid-supported nursing homes, intermediate care facilities for individuals with intellectual disabilities, psychiatric facilities, or long-term care hospitals for at least 90 continuous days. The annual publication </w:t>
      </w:r>
      <w:r w:rsidRPr="00B07009">
        <w:rPr>
          <w:rFonts w:ascii="Times New Roman" w:hAnsi="Times New Roman" w:cs="Times New Roman"/>
          <w:i/>
          <w:iCs/>
          <w:color w:val="000000"/>
          <w:sz w:val="24"/>
          <w:szCs w:val="24"/>
        </w:rPr>
        <w:t xml:space="preserve">State of the States in Intellectual and Developmental Disabilities </w:t>
      </w:r>
      <w:r w:rsidRPr="00B07009">
        <w:rPr>
          <w:rFonts w:ascii="Times New Roman" w:hAnsi="Times New Roman" w:cs="Times New Roman"/>
          <w:color w:val="000000"/>
          <w:sz w:val="24"/>
          <w:szCs w:val="24"/>
        </w:rPr>
        <w:t>reports that in 2015 nearly 70,000 persons with I/DD lived in settings with 16 or more persons, including more than 27,000 in nursing facilities, more than 21,000 in state institutions, and more than 17,000 in private intermediate care facilities.</w:t>
      </w:r>
      <w:r w:rsidR="0012317B" w:rsidRPr="00B07009">
        <w:rPr>
          <w:rStyle w:val="FootnoteReference"/>
          <w:rFonts w:ascii="Times New Roman" w:hAnsi="Times New Roman" w:cs="Times New Roman"/>
          <w:color w:val="000000"/>
          <w:sz w:val="24"/>
          <w:szCs w:val="24"/>
        </w:rPr>
        <w:footnoteReference w:id="5"/>
      </w:r>
      <w:r w:rsidRPr="00B07009">
        <w:rPr>
          <w:rStyle w:val="A10"/>
          <w:rFonts w:ascii="Times New Roman" w:hAnsi="Times New Roman" w:cs="Times New Roman"/>
          <w:sz w:val="24"/>
          <w:szCs w:val="24"/>
        </w:rPr>
        <w:t xml:space="preserve"> </w:t>
      </w:r>
      <w:r w:rsidRPr="00B07009">
        <w:rPr>
          <w:rFonts w:ascii="Times New Roman" w:hAnsi="Times New Roman" w:cs="Times New Roman"/>
          <w:color w:val="000000"/>
          <w:sz w:val="24"/>
          <w:szCs w:val="24"/>
        </w:rPr>
        <w:t>The National Association of State Mental Health Program Directors found that approximately 40,000 people with mental illness reside in state mental health institutions.</w:t>
      </w:r>
      <w:r w:rsidR="0012317B" w:rsidRPr="00B07009">
        <w:rPr>
          <w:rStyle w:val="FootnoteReference"/>
          <w:rFonts w:ascii="Times New Roman" w:hAnsi="Times New Roman" w:cs="Times New Roman"/>
          <w:color w:val="000000"/>
          <w:sz w:val="24"/>
          <w:szCs w:val="24"/>
        </w:rPr>
        <w:footnoteReference w:id="6"/>
      </w:r>
      <w:r w:rsidRPr="00B07009">
        <w:rPr>
          <w:rStyle w:val="A10"/>
          <w:rFonts w:ascii="Times New Roman" w:hAnsi="Times New Roman" w:cs="Times New Roman"/>
          <w:sz w:val="24"/>
          <w:szCs w:val="24"/>
        </w:rPr>
        <w:t xml:space="preserve"> </w:t>
      </w:r>
    </w:p>
    <w:p w14:paraId="6276D367" w14:textId="77777777" w:rsidR="00C42E7D" w:rsidRPr="00B07009" w:rsidRDefault="00C42E7D" w:rsidP="004E4405">
      <w:pPr>
        <w:pStyle w:val="Pa5"/>
        <w:spacing w:line="240" w:lineRule="auto"/>
        <w:rPr>
          <w:rFonts w:ascii="Times New Roman" w:hAnsi="Times New Roman" w:cs="Times New Roman"/>
          <w:color w:val="000000"/>
        </w:rPr>
      </w:pPr>
    </w:p>
    <w:p w14:paraId="1EC82969" w14:textId="272DCAFB" w:rsidR="006C72F3" w:rsidRPr="00B07009" w:rsidRDefault="006C72F3" w:rsidP="004E4405">
      <w:pPr>
        <w:pStyle w:val="Pa5"/>
        <w:numPr>
          <w:ilvl w:val="0"/>
          <w:numId w:val="33"/>
        </w:numPr>
        <w:spacing w:line="240" w:lineRule="auto"/>
        <w:rPr>
          <w:rStyle w:val="A6"/>
          <w:rFonts w:ascii="Times New Roman" w:hAnsi="Times New Roman" w:cs="Times New Roman"/>
          <w:sz w:val="24"/>
          <w:szCs w:val="24"/>
        </w:rPr>
      </w:pPr>
      <w:r w:rsidRPr="00B07009">
        <w:rPr>
          <w:rFonts w:ascii="Times New Roman" w:hAnsi="Times New Roman" w:cs="Times New Roman"/>
          <w:i/>
          <w:iCs/>
          <w:color w:val="000000"/>
        </w:rPr>
        <w:t>Liv</w:t>
      </w:r>
      <w:r w:rsidR="0012317B" w:rsidRPr="00B07009">
        <w:rPr>
          <w:rFonts w:ascii="Times New Roman" w:hAnsi="Times New Roman" w:cs="Times New Roman"/>
          <w:i/>
          <w:iCs/>
          <w:color w:val="000000"/>
        </w:rPr>
        <w:t>ing</w:t>
      </w:r>
      <w:r w:rsidRPr="00B07009">
        <w:rPr>
          <w:rFonts w:ascii="Times New Roman" w:hAnsi="Times New Roman" w:cs="Times New Roman"/>
          <w:i/>
          <w:iCs/>
          <w:color w:val="000000"/>
        </w:rPr>
        <w:t xml:space="preserve"> with Aging Family Members</w:t>
      </w:r>
      <w:r w:rsidR="00C42E7D" w:rsidRPr="00B07009">
        <w:rPr>
          <w:rFonts w:ascii="Times New Roman" w:hAnsi="Times New Roman" w:cs="Times New Roman"/>
          <w:iCs/>
          <w:color w:val="000000"/>
        </w:rPr>
        <w:t xml:space="preserve">: </w:t>
      </w:r>
      <w:r w:rsidRPr="00B07009">
        <w:rPr>
          <w:rFonts w:ascii="Times New Roman" w:hAnsi="Times New Roman" w:cs="Times New Roman"/>
          <w:color w:val="000000"/>
        </w:rPr>
        <w:t xml:space="preserve">The </w:t>
      </w:r>
      <w:r w:rsidRPr="00B07009">
        <w:rPr>
          <w:rFonts w:ascii="Times New Roman" w:hAnsi="Times New Roman" w:cs="Times New Roman"/>
          <w:i/>
          <w:iCs/>
          <w:color w:val="000000"/>
        </w:rPr>
        <w:t xml:space="preserve">State of the States </w:t>
      </w:r>
      <w:r w:rsidRPr="00B07009">
        <w:rPr>
          <w:rFonts w:ascii="Times New Roman" w:hAnsi="Times New Roman" w:cs="Times New Roman"/>
          <w:color w:val="000000"/>
        </w:rPr>
        <w:t xml:space="preserve">report cited above found that in 2015 </w:t>
      </w:r>
      <w:r w:rsidR="004E4405" w:rsidRPr="00B07009">
        <w:rPr>
          <w:rFonts w:ascii="Times New Roman" w:hAnsi="Times New Roman" w:cs="Times New Roman"/>
          <w:color w:val="000000"/>
        </w:rPr>
        <w:t>over</w:t>
      </w:r>
      <w:r w:rsidR="0012317B" w:rsidRPr="00B07009">
        <w:rPr>
          <w:rFonts w:ascii="Times New Roman" w:hAnsi="Times New Roman" w:cs="Times New Roman"/>
          <w:color w:val="000000"/>
        </w:rPr>
        <w:t xml:space="preserve"> </w:t>
      </w:r>
      <w:r w:rsidRPr="00B07009">
        <w:rPr>
          <w:rFonts w:ascii="Times New Roman" w:hAnsi="Times New Roman" w:cs="Times New Roman"/>
          <w:color w:val="000000"/>
        </w:rPr>
        <w:t xml:space="preserve">870,000 people with I/DD live with caregivers who are 60 years of age or older. When their caregivers are no longer able to provide the </w:t>
      </w:r>
      <w:r w:rsidRPr="00B07009">
        <w:rPr>
          <w:rStyle w:val="A6"/>
          <w:rFonts w:ascii="Times New Roman" w:hAnsi="Times New Roman" w:cs="Times New Roman"/>
          <w:sz w:val="24"/>
          <w:szCs w:val="24"/>
        </w:rPr>
        <w:t xml:space="preserve">necessary supports, some </w:t>
      </w:r>
      <w:r w:rsidRPr="00B07009">
        <w:rPr>
          <w:rStyle w:val="A6"/>
          <w:rFonts w:ascii="Times New Roman" w:hAnsi="Times New Roman" w:cs="Times New Roman"/>
          <w:sz w:val="24"/>
          <w:szCs w:val="24"/>
        </w:rPr>
        <w:lastRenderedPageBreak/>
        <w:t xml:space="preserve">of these individuals can rely on siblings or other family, while others will have the means to pay for a market rate apartment and private supports. But for a great many, SSI </w:t>
      </w:r>
      <w:r w:rsidR="00590353" w:rsidRPr="00B07009">
        <w:rPr>
          <w:rStyle w:val="A6"/>
          <w:rFonts w:ascii="Times New Roman" w:hAnsi="Times New Roman" w:cs="Times New Roman"/>
          <w:sz w:val="24"/>
          <w:szCs w:val="24"/>
        </w:rPr>
        <w:t xml:space="preserve">is </w:t>
      </w:r>
      <w:r w:rsidRPr="00B07009">
        <w:rPr>
          <w:rStyle w:val="A6"/>
          <w:rFonts w:ascii="Times New Roman" w:hAnsi="Times New Roman" w:cs="Times New Roman"/>
          <w:sz w:val="24"/>
          <w:szCs w:val="24"/>
        </w:rPr>
        <w:t xml:space="preserve">their sole </w:t>
      </w:r>
      <w:r w:rsidR="00590353" w:rsidRPr="00B07009">
        <w:rPr>
          <w:rStyle w:val="A6"/>
          <w:rFonts w:ascii="Times New Roman" w:hAnsi="Times New Roman" w:cs="Times New Roman"/>
          <w:sz w:val="24"/>
          <w:szCs w:val="24"/>
        </w:rPr>
        <w:t xml:space="preserve">or predominant </w:t>
      </w:r>
      <w:r w:rsidRPr="00B07009">
        <w:rPr>
          <w:rStyle w:val="A6"/>
          <w:rFonts w:ascii="Times New Roman" w:hAnsi="Times New Roman" w:cs="Times New Roman"/>
          <w:sz w:val="24"/>
          <w:szCs w:val="24"/>
        </w:rPr>
        <w:t xml:space="preserve">source of income and they will need affordable housing and supports to continue to live in the community </w:t>
      </w:r>
      <w:r w:rsidR="00590353" w:rsidRPr="00B07009">
        <w:rPr>
          <w:rStyle w:val="A6"/>
          <w:rFonts w:ascii="Times New Roman" w:hAnsi="Times New Roman" w:cs="Times New Roman"/>
          <w:sz w:val="24"/>
          <w:szCs w:val="24"/>
        </w:rPr>
        <w:t xml:space="preserve">and avoid </w:t>
      </w:r>
      <w:r w:rsidRPr="00B07009">
        <w:rPr>
          <w:rStyle w:val="A6"/>
          <w:rFonts w:ascii="Times New Roman" w:hAnsi="Times New Roman" w:cs="Times New Roman"/>
          <w:sz w:val="24"/>
          <w:szCs w:val="24"/>
        </w:rPr>
        <w:t>institutional</w:t>
      </w:r>
      <w:r w:rsidR="00590353" w:rsidRPr="00B07009">
        <w:rPr>
          <w:rStyle w:val="A6"/>
          <w:rFonts w:ascii="Times New Roman" w:hAnsi="Times New Roman" w:cs="Times New Roman"/>
          <w:sz w:val="24"/>
          <w:szCs w:val="24"/>
        </w:rPr>
        <w:t>ization</w:t>
      </w:r>
      <w:r w:rsidRPr="00B07009">
        <w:rPr>
          <w:rStyle w:val="A6"/>
          <w:rFonts w:ascii="Times New Roman" w:hAnsi="Times New Roman" w:cs="Times New Roman"/>
          <w:sz w:val="24"/>
          <w:szCs w:val="24"/>
        </w:rPr>
        <w:t>.</w:t>
      </w:r>
    </w:p>
    <w:p w14:paraId="1BB5F6BC" w14:textId="77777777" w:rsidR="001F64D2" w:rsidRPr="00B07009" w:rsidRDefault="001F64D2" w:rsidP="004E4405">
      <w:pPr>
        <w:rPr>
          <w:rStyle w:val="highlight"/>
        </w:rPr>
      </w:pPr>
    </w:p>
    <w:p w14:paraId="19AAA3FD" w14:textId="3FAD5CB4" w:rsidR="001F64D2" w:rsidRPr="00B07009" w:rsidRDefault="001F64D2" w:rsidP="004E4405">
      <w:pPr>
        <w:rPr>
          <w:rStyle w:val="highlight"/>
        </w:rPr>
      </w:pPr>
      <w:r w:rsidRPr="00B07009">
        <w:rPr>
          <w:rStyle w:val="highlight"/>
        </w:rPr>
        <w:t xml:space="preserve">Current regulations </w:t>
      </w:r>
      <w:r w:rsidR="00C37B97" w:rsidRPr="00B07009">
        <w:rPr>
          <w:rStyle w:val="highlight"/>
        </w:rPr>
        <w:t>identify</w:t>
      </w:r>
      <w:r w:rsidRPr="00B07009">
        <w:rPr>
          <w:rStyle w:val="highlight"/>
        </w:rPr>
        <w:t xml:space="preserve"> housing for “special needs”</w:t>
      </w:r>
      <w:r w:rsidR="00C37B97" w:rsidRPr="00B07009">
        <w:rPr>
          <w:rStyle w:val="highlight"/>
        </w:rPr>
        <w:t xml:space="preserve"> populations as an eligible housing need under the Bank First District Priority; these populations include people with disabilities, as well as seniors, people in recovery, and people with AIDS.</w:t>
      </w:r>
      <w:r w:rsidR="00C37B97" w:rsidRPr="00B07009">
        <w:rPr>
          <w:rStyle w:val="FootnoteReference"/>
        </w:rPr>
        <w:footnoteReference w:id="7"/>
      </w:r>
      <w:r w:rsidR="00C37B97" w:rsidRPr="00B07009">
        <w:rPr>
          <w:rStyle w:val="highlight"/>
        </w:rPr>
        <w:t xml:space="preserve"> The proposed rule would maintain this priority status while increasing the percentage of units reserved for occupancy by these populations, expanding the subpopulations, updating the terminology used to refer to the subpopulations, and adding a requirement for access to supportive services.</w:t>
      </w:r>
      <w:r w:rsidR="00C37B97" w:rsidRPr="00B07009">
        <w:rPr>
          <w:rStyle w:val="FootnoteReference"/>
        </w:rPr>
        <w:footnoteReference w:id="8"/>
      </w:r>
      <w:r w:rsidR="00C37B97" w:rsidRPr="00B07009">
        <w:rPr>
          <w:rStyle w:val="highlight"/>
        </w:rPr>
        <w:t xml:space="preserve"> </w:t>
      </w:r>
    </w:p>
    <w:p w14:paraId="3A5C5757" w14:textId="77777777" w:rsidR="00C37B97" w:rsidRPr="00B07009" w:rsidRDefault="00C37B97" w:rsidP="004E4405">
      <w:pPr>
        <w:rPr>
          <w:rStyle w:val="highlight"/>
        </w:rPr>
      </w:pPr>
    </w:p>
    <w:p w14:paraId="5DAAA798" w14:textId="4CC8CBC1" w:rsidR="001F64D2" w:rsidRPr="00B07009" w:rsidRDefault="001F64D2">
      <w:r w:rsidRPr="00B07009">
        <w:rPr>
          <w:b/>
        </w:rPr>
        <w:t>We submit the following c</w:t>
      </w:r>
      <w:r w:rsidR="00DD785B" w:rsidRPr="00B07009">
        <w:rPr>
          <w:b/>
        </w:rPr>
        <w:t xml:space="preserve">omments in </w:t>
      </w:r>
      <w:r w:rsidRPr="00B07009">
        <w:rPr>
          <w:b/>
        </w:rPr>
        <w:t>r</w:t>
      </w:r>
      <w:r w:rsidR="00DD785B" w:rsidRPr="00B07009">
        <w:rPr>
          <w:b/>
        </w:rPr>
        <w:t>esponse to Question 30</w:t>
      </w:r>
      <w:r w:rsidRPr="00B07009">
        <w:rPr>
          <w:b/>
        </w:rPr>
        <w:t>, “</w:t>
      </w:r>
      <w:r w:rsidR="00DD785B" w:rsidRPr="00B07009">
        <w:t xml:space="preserve">Is the proposed increase in </w:t>
      </w:r>
    </w:p>
    <w:p w14:paraId="7FE95CC9" w14:textId="1770CE65" w:rsidR="006C72F3" w:rsidRPr="00B07009" w:rsidRDefault="00DD785B">
      <w:r w:rsidRPr="00B07009">
        <w:t>the minimum threshold from 20 to 50 percent for</w:t>
      </w:r>
      <w:r w:rsidR="00394B03" w:rsidRPr="00B07009">
        <w:t xml:space="preserve"> th</w:t>
      </w:r>
      <w:r w:rsidRPr="00B07009">
        <w:t xml:space="preserve">e number of units in a project reserved for people with a specific special need </w:t>
      </w:r>
      <w:r w:rsidR="00394B03" w:rsidRPr="00B07009">
        <w:t>appropriate</w:t>
      </w:r>
      <w:r w:rsidRPr="00B07009">
        <w:t>?</w:t>
      </w:r>
      <w:r w:rsidR="001F64D2" w:rsidRPr="00B07009">
        <w:t>”</w:t>
      </w:r>
      <w:r w:rsidRPr="00B07009">
        <w:t xml:space="preserve"> </w:t>
      </w:r>
    </w:p>
    <w:p w14:paraId="2AE2625B" w14:textId="77777777" w:rsidR="00DD785B" w:rsidRPr="00B07009" w:rsidRDefault="00DD785B"/>
    <w:p w14:paraId="36997B57" w14:textId="44DAAC1C" w:rsidR="006C72F3" w:rsidRPr="00B07009" w:rsidRDefault="00DD785B">
      <w:r w:rsidRPr="00B07009">
        <w:t>We appreciate the FHFA’s goal of increasing affordable housing for these populations</w:t>
      </w:r>
      <w:r w:rsidR="00B77BDB" w:rsidRPr="00B07009">
        <w:t xml:space="preserve">. </w:t>
      </w:r>
      <w:r w:rsidR="00B77BDB" w:rsidRPr="00B07009">
        <w:rPr>
          <w:b/>
        </w:rPr>
        <w:t>A</w:t>
      </w:r>
      <w:r w:rsidRPr="00B07009">
        <w:rPr>
          <w:b/>
        </w:rPr>
        <w:t xml:space="preserve">s it pertains to people with disabilities, </w:t>
      </w:r>
      <w:r w:rsidR="006A2BE6" w:rsidRPr="00B07009">
        <w:rPr>
          <w:b/>
        </w:rPr>
        <w:t xml:space="preserve">however, </w:t>
      </w:r>
      <w:r w:rsidR="006C72F3" w:rsidRPr="00B07009">
        <w:t xml:space="preserve">we </w:t>
      </w:r>
      <w:r w:rsidR="006C72F3" w:rsidRPr="00B07009">
        <w:rPr>
          <w:b/>
          <w:u w:val="single"/>
        </w:rPr>
        <w:t>do not</w:t>
      </w:r>
      <w:r w:rsidR="006C72F3" w:rsidRPr="00B07009">
        <w:t xml:space="preserve"> agree that the proposed increase in the minimum threshold from 20 to 50 percent for the number of units in a project reserved for </w:t>
      </w:r>
      <w:r w:rsidR="00394B03" w:rsidRPr="00B07009">
        <w:t>households</w:t>
      </w:r>
      <w:r w:rsidR="006C72F3" w:rsidRPr="00B07009">
        <w:t xml:space="preserve"> with a specific special need is appropriate. </w:t>
      </w:r>
      <w:r w:rsidR="00C37B97" w:rsidRPr="00B07009">
        <w:t>Our</w:t>
      </w:r>
      <w:r w:rsidR="006C72F3" w:rsidRPr="00B07009">
        <w:t xml:space="preserve"> comment</w:t>
      </w:r>
      <w:r w:rsidR="00C37B97" w:rsidRPr="00B07009">
        <w:t>s</w:t>
      </w:r>
      <w:r w:rsidR="006C72F3" w:rsidRPr="00B07009">
        <w:t xml:space="preserve"> </w:t>
      </w:r>
      <w:r w:rsidR="00C37B97" w:rsidRPr="00B07009">
        <w:t>are</w:t>
      </w:r>
      <w:r w:rsidR="006C72F3" w:rsidRPr="00B07009">
        <w:t xml:space="preserve"> specific to </w:t>
      </w:r>
      <w:r w:rsidR="00590353" w:rsidRPr="00B07009">
        <w:t xml:space="preserve">non-elderly </w:t>
      </w:r>
      <w:r w:rsidR="006C72F3" w:rsidRPr="00B07009">
        <w:t xml:space="preserve">people with </w:t>
      </w:r>
      <w:r w:rsidR="00394B03" w:rsidRPr="00B07009">
        <w:t>disabilities</w:t>
      </w:r>
      <w:r w:rsidR="006C72F3" w:rsidRPr="00B07009">
        <w:t xml:space="preserve"> </w:t>
      </w:r>
      <w:r w:rsidR="00C37B97" w:rsidRPr="00B07009">
        <w:t xml:space="preserve">and </w:t>
      </w:r>
      <w:r w:rsidR="00590353" w:rsidRPr="00B07009">
        <w:t xml:space="preserve">do not represent other </w:t>
      </w:r>
      <w:r w:rsidR="006C72F3" w:rsidRPr="00B07009">
        <w:t xml:space="preserve">populations </w:t>
      </w:r>
      <w:r w:rsidR="00590353" w:rsidRPr="00B07009">
        <w:t xml:space="preserve">under this category, </w:t>
      </w:r>
      <w:r w:rsidR="006C72F3" w:rsidRPr="00B07009">
        <w:t xml:space="preserve">such as </w:t>
      </w:r>
      <w:r w:rsidR="005C6DA0" w:rsidRPr="00B07009">
        <w:t xml:space="preserve">seniors </w:t>
      </w:r>
      <w:r w:rsidR="006C72F3" w:rsidRPr="00B07009">
        <w:t>or people in recovery.</w:t>
      </w:r>
    </w:p>
    <w:p w14:paraId="062F5BF6" w14:textId="4F2426DC" w:rsidR="00DD785B" w:rsidRPr="00B07009" w:rsidRDefault="00DD785B"/>
    <w:p w14:paraId="582F1C71" w14:textId="36B2A827" w:rsidR="00DD785B" w:rsidRPr="00B07009" w:rsidRDefault="00DD785B">
      <w:pPr>
        <w:rPr>
          <w:i/>
        </w:rPr>
      </w:pPr>
      <w:r w:rsidRPr="00B07009">
        <w:t xml:space="preserve">As HUD outlined in its 2013 </w:t>
      </w:r>
      <w:r w:rsidRPr="00B07009">
        <w:rPr>
          <w:i/>
        </w:rPr>
        <w:t>Statement of the Department of Housing and Urban Development on the Role of Housing in Accomplishing the Goals of Olmstead,</w:t>
      </w:r>
      <w:r w:rsidR="003952BB" w:rsidRPr="00B07009">
        <w:rPr>
          <w:rStyle w:val="FootnoteReference"/>
          <w:i/>
        </w:rPr>
        <w:footnoteReference w:id="9"/>
      </w:r>
      <w:r w:rsidRPr="00B07009">
        <w:rPr>
          <w:i/>
        </w:rPr>
        <w:t xml:space="preserve"> </w:t>
      </w:r>
    </w:p>
    <w:p w14:paraId="15E13384" w14:textId="77777777" w:rsidR="00DD785B" w:rsidRPr="00B07009" w:rsidRDefault="00DD785B">
      <w:pPr>
        <w:rPr>
          <w:i/>
        </w:rPr>
      </w:pPr>
    </w:p>
    <w:p w14:paraId="7677E7A0" w14:textId="146F88D6" w:rsidR="006C72F3" w:rsidRPr="00B07009" w:rsidRDefault="00DD785B">
      <w:pPr>
        <w:ind w:left="720"/>
      </w:pPr>
      <w:r w:rsidRPr="00B07009">
        <w:rPr>
          <w:i/>
        </w:rPr>
        <w:t>“</w:t>
      </w:r>
      <w:r w:rsidR="006C72F3" w:rsidRPr="00B07009">
        <w:t>Individuals with disabilities have historically faced discrimination that limited their opportunity</w:t>
      </w:r>
      <w:r w:rsidRPr="00B07009">
        <w:t xml:space="preserve"> </w:t>
      </w:r>
      <w:r w:rsidR="006C72F3" w:rsidRPr="00B07009">
        <w:t>to live independently in the community and required them to live in institutions and other</w:t>
      </w:r>
      <w:r w:rsidRPr="00B07009">
        <w:t xml:space="preserve"> </w:t>
      </w:r>
      <w:r w:rsidR="006C72F3" w:rsidRPr="00B07009">
        <w:t>segregated settings. In 1999, the United States Supreme Court issued the landmark decision in</w:t>
      </w:r>
      <w:r w:rsidRPr="00B07009">
        <w:t xml:space="preserve"> </w:t>
      </w:r>
      <w:r w:rsidR="006C72F3" w:rsidRPr="00B07009">
        <w:rPr>
          <w:i/>
          <w:iCs/>
        </w:rPr>
        <w:t xml:space="preserve">Olmstead v. L.C., </w:t>
      </w:r>
      <w:r w:rsidR="006C72F3" w:rsidRPr="00B07009">
        <w:t>527 U.S. 581 (1999), affirming that the unjustified segregation of individuals</w:t>
      </w:r>
      <w:r w:rsidRPr="00B07009">
        <w:t xml:space="preserve"> </w:t>
      </w:r>
      <w:r w:rsidR="006C72F3" w:rsidRPr="00B07009">
        <w:t>with disabilities is a form of discrimination prohibited by Title II of the Americans with</w:t>
      </w:r>
      <w:r w:rsidRPr="00B07009">
        <w:t xml:space="preserve"> </w:t>
      </w:r>
      <w:r w:rsidR="006C72F3" w:rsidRPr="00B07009">
        <w:t xml:space="preserve">Disabilities Act (ADA). Following the </w:t>
      </w:r>
      <w:r w:rsidR="006C72F3" w:rsidRPr="00B07009">
        <w:rPr>
          <w:i/>
          <w:iCs/>
        </w:rPr>
        <w:t xml:space="preserve">Olmstead </w:t>
      </w:r>
      <w:r w:rsidR="006C72F3" w:rsidRPr="00B07009">
        <w:t>decision, there have been increased efforts</w:t>
      </w:r>
      <w:r w:rsidRPr="00B07009">
        <w:t xml:space="preserve"> </w:t>
      </w:r>
      <w:r w:rsidR="006C72F3" w:rsidRPr="00B07009">
        <w:t>across the country to assist individuals who are institutionalized or housed in other segregated</w:t>
      </w:r>
      <w:r w:rsidRPr="00B07009">
        <w:t xml:space="preserve"> </w:t>
      </w:r>
      <w:r w:rsidR="006C72F3" w:rsidRPr="00B07009">
        <w:t>settings to move to integrated, community-based settings. In addition, states are “rebalancing”</w:t>
      </w:r>
      <w:r w:rsidRPr="00B07009">
        <w:t xml:space="preserve"> </w:t>
      </w:r>
      <w:r w:rsidR="006C72F3" w:rsidRPr="00B07009">
        <w:t>health care delivery systems by shifting away from an overreliance on providing long-term</w:t>
      </w:r>
      <w:r w:rsidRPr="00B07009">
        <w:t xml:space="preserve"> </w:t>
      </w:r>
      <w:r w:rsidR="006C72F3" w:rsidRPr="00B07009">
        <w:t>services and supports to individuals with disabilities in institutions, hospitals, nursing homes,</w:t>
      </w:r>
      <w:r w:rsidRPr="00B07009">
        <w:t xml:space="preserve"> </w:t>
      </w:r>
      <w:r w:rsidR="006C72F3" w:rsidRPr="00B07009">
        <w:t xml:space="preserve">adult care facilities, and other restrictive, segregated settings and moving towards a </w:t>
      </w:r>
      <w:r w:rsidR="006C72F3" w:rsidRPr="00B07009">
        <w:lastRenderedPageBreak/>
        <w:t>greater</w:t>
      </w:r>
      <w:r w:rsidRPr="00B07009">
        <w:t xml:space="preserve"> </w:t>
      </w:r>
      <w:r w:rsidR="006C72F3" w:rsidRPr="00B07009">
        <w:t>reliance on home- and community-based services. For many states, these efforts to comply with</w:t>
      </w:r>
      <w:r w:rsidRPr="00B07009">
        <w:t xml:space="preserve"> </w:t>
      </w:r>
      <w:r w:rsidR="006C72F3" w:rsidRPr="00B07009">
        <w:rPr>
          <w:i/>
          <w:iCs/>
        </w:rPr>
        <w:t xml:space="preserve">Olmstead </w:t>
      </w:r>
      <w:r w:rsidR="006C72F3" w:rsidRPr="00B07009">
        <w:t>and rebalance the way long-term services and supports are provided by moving</w:t>
      </w:r>
      <w:r w:rsidRPr="00B07009">
        <w:t xml:space="preserve"> </w:t>
      </w:r>
      <w:r w:rsidR="006C72F3" w:rsidRPr="00B07009">
        <w:t>individuals out of institutions and into the community are confounded by a lack of integrated</w:t>
      </w:r>
      <w:r w:rsidRPr="00B07009">
        <w:t xml:space="preserve"> </w:t>
      </w:r>
      <w:r w:rsidR="006C72F3" w:rsidRPr="00B07009">
        <w:t>housing options for individuals with disabilities. As a result, there is a great need for affordable,</w:t>
      </w:r>
      <w:r w:rsidRPr="00B07009">
        <w:t xml:space="preserve"> </w:t>
      </w:r>
      <w:r w:rsidR="006C72F3" w:rsidRPr="00B07009">
        <w:t>integrated housing opportunities where individuals with disabilities are able to live and interact</w:t>
      </w:r>
      <w:r w:rsidRPr="00B07009">
        <w:t xml:space="preserve"> </w:t>
      </w:r>
      <w:r w:rsidR="006C72F3" w:rsidRPr="00B07009">
        <w:t>with individuals without disabilities, while receiving the health care and long-term services and</w:t>
      </w:r>
      <w:r w:rsidRPr="00B07009">
        <w:t xml:space="preserve"> </w:t>
      </w:r>
      <w:r w:rsidR="006C72F3" w:rsidRPr="00B07009">
        <w:t>supports they need.</w:t>
      </w:r>
    </w:p>
    <w:p w14:paraId="70FDC9FA" w14:textId="77777777" w:rsidR="006C72F3" w:rsidRPr="00B07009" w:rsidRDefault="006C72F3"/>
    <w:p w14:paraId="3FE84F3D" w14:textId="77777777" w:rsidR="00DD785B" w:rsidRPr="00B07009" w:rsidRDefault="00DD785B">
      <w:r w:rsidRPr="00B07009">
        <w:t>HUD states further,</w:t>
      </w:r>
    </w:p>
    <w:p w14:paraId="3EC51B85" w14:textId="77777777" w:rsidR="00DD785B" w:rsidRPr="00B07009" w:rsidRDefault="00DD785B"/>
    <w:p w14:paraId="533A688A" w14:textId="0D41295E" w:rsidR="006C72F3" w:rsidRPr="00B07009" w:rsidRDefault="006C72F3">
      <w:pPr>
        <w:ind w:left="720"/>
      </w:pPr>
      <w:r w:rsidRPr="00B07009">
        <w:t>In practical terms, this means that states must find housing that enables them to assist individuals with disabilities to transition out of institutions and other segregated settings and into the most integrated setting appropriate to the needs of each individual with a disability.</w:t>
      </w:r>
    </w:p>
    <w:p w14:paraId="45DEDAAE" w14:textId="65EEC6B9" w:rsidR="00DD785B" w:rsidRPr="00B07009" w:rsidRDefault="00DD785B"/>
    <w:p w14:paraId="3CED4CE4" w14:textId="14098877" w:rsidR="006C72F3" w:rsidRPr="00B07009" w:rsidRDefault="00DD785B">
      <w:pPr>
        <w:rPr>
          <w:bCs/>
        </w:rPr>
      </w:pPr>
      <w:r w:rsidRPr="00B07009">
        <w:t xml:space="preserve">In response to the question </w:t>
      </w:r>
      <w:r w:rsidR="005C6DA0" w:rsidRPr="00B07009">
        <w:t>“</w:t>
      </w:r>
      <w:r w:rsidR="006C72F3" w:rsidRPr="00B07009">
        <w:rPr>
          <w:b/>
          <w:bCs/>
        </w:rPr>
        <w:t>1. What does the most integrated setting mean and how does an integrated setting differ</w:t>
      </w:r>
      <w:r w:rsidRPr="00B07009">
        <w:rPr>
          <w:b/>
          <w:bCs/>
        </w:rPr>
        <w:t xml:space="preserve"> </w:t>
      </w:r>
      <w:r w:rsidR="006C72F3" w:rsidRPr="00B07009">
        <w:rPr>
          <w:b/>
          <w:bCs/>
        </w:rPr>
        <w:t>from a segregated setting?</w:t>
      </w:r>
      <w:r w:rsidR="005C6DA0" w:rsidRPr="00B07009">
        <w:rPr>
          <w:bCs/>
        </w:rPr>
        <w:t>”</w:t>
      </w:r>
      <w:r w:rsidR="00AD6161" w:rsidRPr="00B07009">
        <w:rPr>
          <w:b/>
          <w:bCs/>
        </w:rPr>
        <w:t xml:space="preserve"> </w:t>
      </w:r>
      <w:r w:rsidRPr="00B07009">
        <w:rPr>
          <w:bCs/>
        </w:rPr>
        <w:t>HUD goes on to say</w:t>
      </w:r>
    </w:p>
    <w:p w14:paraId="5FBF6430" w14:textId="77777777" w:rsidR="00DD785B" w:rsidRPr="00B07009" w:rsidRDefault="00DD785B">
      <w:pPr>
        <w:rPr>
          <w:bCs/>
        </w:rPr>
      </w:pPr>
    </w:p>
    <w:p w14:paraId="393D390A" w14:textId="4B53008D" w:rsidR="006C72F3" w:rsidRPr="00B07009" w:rsidRDefault="006C72F3" w:rsidP="004E4405">
      <w:pPr>
        <w:ind w:left="720"/>
      </w:pPr>
      <w:r w:rsidRPr="00B07009">
        <w:t>In its 1991 rulemaking implementing Title II of the ADA, the U.S. Department of Justice defined</w:t>
      </w:r>
      <w:r w:rsidR="00DD785B" w:rsidRPr="00B07009">
        <w:t xml:space="preserve"> </w:t>
      </w:r>
      <w:r w:rsidRPr="00B07009">
        <w:t>“the most integrated setting appropriate to the needs of qualified individuals with disabilities” as</w:t>
      </w:r>
      <w:r w:rsidR="00DD785B" w:rsidRPr="00B07009">
        <w:t xml:space="preserve"> </w:t>
      </w:r>
      <w:r w:rsidRPr="00B07009">
        <w:t>“a setting that enables individuals with disabilities to interact with nondisabled persons to the</w:t>
      </w:r>
      <w:r w:rsidR="00DD785B" w:rsidRPr="00B07009">
        <w:t xml:space="preserve"> </w:t>
      </w:r>
      <w:r w:rsidRPr="00B07009">
        <w:t>fullest extent possible.” The Department of Justice reinforced this definition in 2011 when it</w:t>
      </w:r>
      <w:r w:rsidR="00DD785B" w:rsidRPr="00B07009">
        <w:t xml:space="preserve"> </w:t>
      </w:r>
      <w:r w:rsidRPr="00B07009">
        <w:t>issued a statement on enforcement of the integration mandate of Title II of the ADA and</w:t>
      </w:r>
      <w:r w:rsidR="00DD785B" w:rsidRPr="00B07009">
        <w:t xml:space="preserve"> </w:t>
      </w:r>
      <w:r w:rsidRPr="00B07009">
        <w:rPr>
          <w:i/>
          <w:iCs/>
        </w:rPr>
        <w:t xml:space="preserve">Olmstead </w:t>
      </w:r>
      <w:r w:rsidRPr="00B07009">
        <w:t xml:space="preserve">(DOJ </w:t>
      </w:r>
      <w:r w:rsidRPr="00B07009">
        <w:rPr>
          <w:i/>
          <w:iCs/>
        </w:rPr>
        <w:t xml:space="preserve">Olmstead </w:t>
      </w:r>
      <w:r w:rsidRPr="00B07009">
        <w:t>Statement)</w:t>
      </w:r>
      <w:r w:rsidR="00DD785B" w:rsidRPr="00B07009">
        <w:t xml:space="preserve"> </w:t>
      </w:r>
      <w:r w:rsidRPr="00B07009">
        <w:t>and described the following additional characteristics of</w:t>
      </w:r>
      <w:r w:rsidR="00DD785B" w:rsidRPr="00B07009">
        <w:t xml:space="preserve"> </w:t>
      </w:r>
      <w:r w:rsidRPr="00B07009">
        <w:t>integrated settings as:</w:t>
      </w:r>
    </w:p>
    <w:p w14:paraId="4A48F0DF" w14:textId="77777777" w:rsidR="005C6DA0" w:rsidRPr="00B07009" w:rsidRDefault="005C6DA0" w:rsidP="004E4405">
      <w:pPr>
        <w:ind w:left="720"/>
      </w:pPr>
    </w:p>
    <w:p w14:paraId="1120F318" w14:textId="77777777" w:rsidR="00EA2060" w:rsidRPr="00B07009" w:rsidRDefault="006C72F3" w:rsidP="004E4405">
      <w:pPr>
        <w:ind w:left="1440"/>
      </w:pPr>
      <w:r w:rsidRPr="00B07009">
        <w:t>those that provide individuals with disabilities opportunities to live, work, and receive</w:t>
      </w:r>
      <w:r w:rsidR="00DD785B" w:rsidRPr="00B07009">
        <w:t xml:space="preserve"> </w:t>
      </w:r>
      <w:r w:rsidRPr="00B07009">
        <w:t>services in the greater community, like individuals without disabilities. Integrated</w:t>
      </w:r>
      <w:r w:rsidR="00DD785B" w:rsidRPr="00B07009">
        <w:t xml:space="preserve"> </w:t>
      </w:r>
      <w:r w:rsidRPr="00B07009">
        <w:t>settings are located in mainstream society; offer access to community activities and</w:t>
      </w:r>
      <w:r w:rsidR="00DD785B" w:rsidRPr="00B07009">
        <w:t xml:space="preserve"> </w:t>
      </w:r>
      <w:r w:rsidRPr="00B07009">
        <w:t>opportunities at times, frequencies and with persons of an individual’s choosing; afford</w:t>
      </w:r>
      <w:r w:rsidR="00DD785B" w:rsidRPr="00B07009">
        <w:t xml:space="preserve"> </w:t>
      </w:r>
      <w:r w:rsidRPr="00B07009">
        <w:t>individuals choice in their daily life activities; and provide individuals with disabilities</w:t>
      </w:r>
      <w:r w:rsidR="00DD785B" w:rsidRPr="00B07009">
        <w:t xml:space="preserve"> </w:t>
      </w:r>
      <w:r w:rsidRPr="00B07009">
        <w:t>the opportunity to interact with non-disabled persons to the fullest extent possible.</w:t>
      </w:r>
      <w:r w:rsidR="00DD785B" w:rsidRPr="00B07009">
        <w:t xml:space="preserve"> </w:t>
      </w:r>
    </w:p>
    <w:p w14:paraId="61A29982" w14:textId="77777777" w:rsidR="00EA2060" w:rsidRPr="00B07009" w:rsidRDefault="00EA2060" w:rsidP="004E4405"/>
    <w:p w14:paraId="1190CBDA" w14:textId="59E554C4" w:rsidR="006C72F3" w:rsidRPr="00B07009" w:rsidRDefault="006C72F3" w:rsidP="004E4405">
      <w:pPr>
        <w:ind w:left="720"/>
      </w:pPr>
      <w:r w:rsidRPr="00B07009">
        <w:t>Within the context of housing, integrated settings enable individuals with disabilities to live like</w:t>
      </w:r>
      <w:r w:rsidR="00DD785B" w:rsidRPr="00B07009">
        <w:t xml:space="preserve"> </w:t>
      </w:r>
      <w:r w:rsidRPr="00B07009">
        <w:t>individuals without disabilities.</w:t>
      </w:r>
      <w:r w:rsidR="00DD785B" w:rsidRPr="00B07009">
        <w:t xml:space="preserve"> </w:t>
      </w:r>
      <w:r w:rsidRPr="00B07009">
        <w:t>Integrated settings also enable individuals with disabilities to</w:t>
      </w:r>
      <w:r w:rsidR="00DD785B" w:rsidRPr="00B07009">
        <w:t xml:space="preserve"> </w:t>
      </w:r>
      <w:r w:rsidRPr="00B07009">
        <w:t>live independently with individuals without disabilities and without restrictive rules that limit</w:t>
      </w:r>
      <w:r w:rsidR="00DD785B" w:rsidRPr="00B07009">
        <w:t xml:space="preserve"> </w:t>
      </w:r>
      <w:r w:rsidRPr="00B07009">
        <w:t>their activities or impede their ability to interact with individuals without disabilities. Examples</w:t>
      </w:r>
      <w:r w:rsidR="00DD785B" w:rsidRPr="00B07009">
        <w:t xml:space="preserve"> </w:t>
      </w:r>
      <w:r w:rsidRPr="00B07009">
        <w:t>of integrated settings include scattered-site apartments providing permanent supportive housing,</w:t>
      </w:r>
      <w:r w:rsidR="00DD785B" w:rsidRPr="00B07009">
        <w:t xml:space="preserve"> </w:t>
      </w:r>
      <w:r w:rsidRPr="00B07009">
        <w:t>tenant-based rental assistance that enables individuals with disabilities to lease housing in</w:t>
      </w:r>
      <w:r w:rsidR="00DD785B" w:rsidRPr="00B07009">
        <w:t xml:space="preserve"> </w:t>
      </w:r>
      <w:r w:rsidRPr="00B07009">
        <w:t>integrated developments, and apartments for individuals with various disabilities scattered</w:t>
      </w:r>
      <w:r w:rsidR="00DD785B" w:rsidRPr="00B07009">
        <w:t xml:space="preserve"> </w:t>
      </w:r>
      <w:r w:rsidRPr="00B07009">
        <w:t>throughout public and multifamily housing developments.</w:t>
      </w:r>
    </w:p>
    <w:p w14:paraId="4DF1B639" w14:textId="77777777" w:rsidR="00EA2060" w:rsidRPr="00B07009" w:rsidRDefault="00EA2060" w:rsidP="004E4405"/>
    <w:p w14:paraId="443F610B" w14:textId="115E78CD" w:rsidR="006C72F3" w:rsidRPr="00B07009" w:rsidRDefault="006C72F3" w:rsidP="004E4405">
      <w:pPr>
        <w:ind w:left="720"/>
      </w:pPr>
      <w:r w:rsidRPr="00B07009">
        <w:t>By contrast, segregated settings are occupied exclusively or primarily by individuals with</w:t>
      </w:r>
      <w:r w:rsidR="00DD785B" w:rsidRPr="00B07009">
        <w:t xml:space="preserve"> </w:t>
      </w:r>
      <w:r w:rsidRPr="00B07009">
        <w:t>disabilities. Segregated settings sometimes have qualities of an institutional nature, including, but</w:t>
      </w:r>
      <w:r w:rsidR="00DD785B" w:rsidRPr="00B07009">
        <w:t xml:space="preserve"> </w:t>
      </w:r>
      <w:r w:rsidRPr="00B07009">
        <w:t xml:space="preserve">not limited to, regimentation in daily activities, lack of privacy or </w:t>
      </w:r>
      <w:r w:rsidRPr="00B07009">
        <w:lastRenderedPageBreak/>
        <w:t>autonomy, policies limiting</w:t>
      </w:r>
      <w:r w:rsidR="00DD785B" w:rsidRPr="00B07009">
        <w:t xml:space="preserve"> </w:t>
      </w:r>
      <w:r w:rsidRPr="00B07009">
        <w:t>visitors, limits on individuals’ ability to engage freely in community activities and manage their</w:t>
      </w:r>
      <w:r w:rsidR="00DD785B" w:rsidRPr="00B07009">
        <w:t xml:space="preserve"> </w:t>
      </w:r>
      <w:r w:rsidRPr="00B07009">
        <w:t>own activities of daily living, or daytime activities primarily with other individuals with</w:t>
      </w:r>
      <w:r w:rsidR="00DD785B" w:rsidRPr="00B07009">
        <w:t xml:space="preserve"> </w:t>
      </w:r>
      <w:r w:rsidRPr="00B07009">
        <w:t>disabilities.</w:t>
      </w:r>
      <w:r w:rsidR="00DD785B" w:rsidRPr="00B07009">
        <w:t>”</w:t>
      </w:r>
    </w:p>
    <w:p w14:paraId="704D0884" w14:textId="77777777" w:rsidR="00590353" w:rsidRPr="00B07009" w:rsidRDefault="00590353" w:rsidP="004E4405">
      <w:pPr>
        <w:ind w:left="1440"/>
      </w:pPr>
    </w:p>
    <w:p w14:paraId="498D1C42" w14:textId="4CC4EBFC" w:rsidR="005C6DA0" w:rsidRPr="00B07009" w:rsidRDefault="00AD625A">
      <w:pPr>
        <w:rPr>
          <w:rFonts w:eastAsia="Calibri"/>
        </w:rPr>
      </w:pPr>
      <w:r w:rsidRPr="00B07009">
        <w:rPr>
          <w:rFonts w:eastAsia="Calibri"/>
        </w:rPr>
        <w:t>We see these ideas come to life in housing and services p</w:t>
      </w:r>
      <w:r w:rsidR="00AD6161" w:rsidRPr="00B07009">
        <w:rPr>
          <w:rFonts w:eastAsia="Calibri"/>
        </w:rPr>
        <w:t xml:space="preserve">rograms funded by HUD and </w:t>
      </w:r>
      <w:r w:rsidR="005C6DA0" w:rsidRPr="00B07009">
        <w:rPr>
          <w:rFonts w:eastAsia="Calibri"/>
        </w:rPr>
        <w:t>the Department of Health and Human Services (</w:t>
      </w:r>
      <w:r w:rsidR="00AD6161" w:rsidRPr="00B07009">
        <w:rPr>
          <w:rFonts w:eastAsia="Calibri"/>
        </w:rPr>
        <w:t>HHS</w:t>
      </w:r>
      <w:r w:rsidR="005C6DA0" w:rsidRPr="00B07009">
        <w:rPr>
          <w:rFonts w:eastAsia="Calibri"/>
        </w:rPr>
        <w:t xml:space="preserve">), </w:t>
      </w:r>
      <w:r w:rsidR="00AD6161" w:rsidRPr="00B07009">
        <w:rPr>
          <w:rFonts w:eastAsia="Calibri"/>
        </w:rPr>
        <w:t xml:space="preserve">in </w:t>
      </w:r>
      <w:r w:rsidR="005C6DA0" w:rsidRPr="00B07009">
        <w:rPr>
          <w:rFonts w:eastAsia="Calibri"/>
        </w:rPr>
        <w:t>Department of Justice (</w:t>
      </w:r>
      <w:r w:rsidR="00AD6161" w:rsidRPr="00B07009">
        <w:rPr>
          <w:rFonts w:eastAsia="Calibri"/>
        </w:rPr>
        <w:t>DOJ</w:t>
      </w:r>
      <w:r w:rsidR="005C6DA0" w:rsidRPr="00B07009">
        <w:rPr>
          <w:rFonts w:eastAsia="Calibri"/>
        </w:rPr>
        <w:t>)</w:t>
      </w:r>
      <w:r w:rsidR="00AD6161" w:rsidRPr="00B07009">
        <w:rPr>
          <w:rFonts w:eastAsia="Calibri"/>
        </w:rPr>
        <w:t xml:space="preserve"> settlement agreements with states</w:t>
      </w:r>
      <w:r w:rsidR="005C6DA0" w:rsidRPr="00B07009">
        <w:rPr>
          <w:rFonts w:eastAsia="Calibri"/>
        </w:rPr>
        <w:t>, and in Congressional action</w:t>
      </w:r>
      <w:r w:rsidR="00AD6161" w:rsidRPr="00B07009">
        <w:rPr>
          <w:rFonts w:eastAsia="Calibri"/>
        </w:rPr>
        <w:t xml:space="preserve">. </w:t>
      </w:r>
    </w:p>
    <w:p w14:paraId="7DAAAFD2" w14:textId="77777777" w:rsidR="005C6DA0" w:rsidRPr="00B07009" w:rsidRDefault="005C6DA0">
      <w:pPr>
        <w:rPr>
          <w:rFonts w:eastAsia="Calibri"/>
        </w:rPr>
      </w:pPr>
    </w:p>
    <w:p w14:paraId="7DD7158E" w14:textId="6FCF9C48" w:rsidR="005C6DA0" w:rsidRPr="00B07009" w:rsidRDefault="005C6DA0" w:rsidP="005C6DA0">
      <w:pPr>
        <w:rPr>
          <w:rFonts w:eastAsia="Calibri"/>
        </w:rPr>
      </w:pPr>
      <w:r w:rsidRPr="00B07009">
        <w:rPr>
          <w:rFonts w:eastAsia="Calibri"/>
        </w:rPr>
        <w:t>For example, t</w:t>
      </w:r>
      <w:r w:rsidR="00AD625A" w:rsidRPr="00B07009">
        <w:rPr>
          <w:rFonts w:eastAsia="Calibri"/>
        </w:rPr>
        <w:t xml:space="preserve">he </w:t>
      </w:r>
      <w:r w:rsidR="00394B03" w:rsidRPr="00B07009">
        <w:rPr>
          <w:rFonts w:eastAsia="Calibri"/>
        </w:rPr>
        <w:t>Section</w:t>
      </w:r>
      <w:r w:rsidR="00AD625A" w:rsidRPr="00B07009">
        <w:rPr>
          <w:rFonts w:eastAsia="Calibri"/>
        </w:rPr>
        <w:t xml:space="preserve"> 811 </w:t>
      </w:r>
      <w:r w:rsidR="005E7AA7" w:rsidRPr="00B07009">
        <w:rPr>
          <w:rFonts w:eastAsia="Calibri"/>
        </w:rPr>
        <w:t>Project Rental Assistance (</w:t>
      </w:r>
      <w:r w:rsidR="00AD625A" w:rsidRPr="00B07009">
        <w:rPr>
          <w:rFonts w:eastAsia="Calibri"/>
        </w:rPr>
        <w:t>PRA</w:t>
      </w:r>
      <w:r w:rsidR="005E7AA7" w:rsidRPr="00B07009">
        <w:rPr>
          <w:rFonts w:eastAsia="Calibri"/>
        </w:rPr>
        <w:t>)</w:t>
      </w:r>
      <w:r w:rsidR="00AD625A" w:rsidRPr="00B07009">
        <w:rPr>
          <w:rFonts w:eastAsia="Calibri"/>
        </w:rPr>
        <w:t xml:space="preserve"> program </w:t>
      </w:r>
      <w:r w:rsidRPr="00B07009">
        <w:rPr>
          <w:rFonts w:eastAsia="Calibri"/>
        </w:rPr>
        <w:t xml:space="preserve">was authorized under the bipartisan Frank Melville Supportive Housing Investment Act of 2010 to </w:t>
      </w:r>
      <w:r w:rsidR="00AD625A" w:rsidRPr="00B07009">
        <w:rPr>
          <w:rFonts w:eastAsia="Calibri"/>
        </w:rPr>
        <w:t xml:space="preserve">create integrated housing </w:t>
      </w:r>
      <w:r w:rsidR="00394B03" w:rsidRPr="00B07009">
        <w:rPr>
          <w:rFonts w:eastAsia="Calibri"/>
        </w:rPr>
        <w:t>opportunities</w:t>
      </w:r>
      <w:r w:rsidR="00AD625A" w:rsidRPr="00B07009">
        <w:rPr>
          <w:rFonts w:eastAsia="Calibri"/>
        </w:rPr>
        <w:t xml:space="preserve"> for people with </w:t>
      </w:r>
      <w:r w:rsidR="00394B03" w:rsidRPr="00B07009">
        <w:rPr>
          <w:rFonts w:eastAsia="Calibri"/>
        </w:rPr>
        <w:t>disabilities</w:t>
      </w:r>
      <w:r w:rsidRPr="00B07009">
        <w:rPr>
          <w:rFonts w:eastAsia="Calibri"/>
        </w:rPr>
        <w:t>. The Section 811 PRA program</w:t>
      </w:r>
      <w:r w:rsidR="00AD625A" w:rsidRPr="00B07009">
        <w:rPr>
          <w:rFonts w:eastAsia="Calibri"/>
        </w:rPr>
        <w:t xml:space="preserve"> </w:t>
      </w:r>
      <w:r w:rsidR="00394B03" w:rsidRPr="00B07009">
        <w:rPr>
          <w:rFonts w:eastAsia="Calibri"/>
        </w:rPr>
        <w:t>creat</w:t>
      </w:r>
      <w:r w:rsidRPr="00B07009">
        <w:rPr>
          <w:rFonts w:eastAsia="Calibri"/>
        </w:rPr>
        <w:t>es</w:t>
      </w:r>
      <w:r w:rsidR="00AD625A" w:rsidRPr="00B07009">
        <w:rPr>
          <w:rFonts w:eastAsia="Calibri"/>
        </w:rPr>
        <w:t xml:space="preserve"> state level partnerships between housing and services agencies and </w:t>
      </w:r>
      <w:r w:rsidRPr="00B07009">
        <w:rPr>
          <w:rFonts w:eastAsia="Calibri"/>
        </w:rPr>
        <w:t xml:space="preserve">provides </w:t>
      </w:r>
      <w:r w:rsidR="00AD625A" w:rsidRPr="00B07009">
        <w:rPr>
          <w:rFonts w:eastAsia="Calibri"/>
        </w:rPr>
        <w:t>these partnerships with funds for rental assistance to be used in not more than 25</w:t>
      </w:r>
      <w:r w:rsidR="005E7AA7" w:rsidRPr="00B07009">
        <w:rPr>
          <w:rFonts w:eastAsia="Calibri"/>
        </w:rPr>
        <w:t xml:space="preserve"> percent</w:t>
      </w:r>
      <w:r w:rsidR="00AD625A" w:rsidRPr="00B07009">
        <w:rPr>
          <w:rFonts w:eastAsia="Calibri"/>
        </w:rPr>
        <w:t xml:space="preserve"> of the </w:t>
      </w:r>
      <w:r w:rsidR="00394B03" w:rsidRPr="00B07009">
        <w:rPr>
          <w:rFonts w:eastAsia="Calibri"/>
        </w:rPr>
        <w:t>units</w:t>
      </w:r>
      <w:r w:rsidR="00AD625A" w:rsidRPr="00B07009">
        <w:rPr>
          <w:rFonts w:eastAsia="Calibri"/>
        </w:rPr>
        <w:t xml:space="preserve"> in any given project. </w:t>
      </w:r>
      <w:r w:rsidRPr="00B07009">
        <w:rPr>
          <w:rFonts w:eastAsia="Calibri"/>
        </w:rPr>
        <w:t xml:space="preserve">Similarly, the </w:t>
      </w:r>
      <w:r w:rsidR="004C7E9D" w:rsidRPr="00B07009">
        <w:rPr>
          <w:rFonts w:eastAsia="Calibri"/>
        </w:rPr>
        <w:t xml:space="preserve">HHS Centers for Medicare and Medicaid Services (CMS) </w:t>
      </w:r>
      <w:r w:rsidRPr="00B07009">
        <w:rPr>
          <w:rFonts w:eastAsia="Calibri"/>
        </w:rPr>
        <w:t xml:space="preserve">home and community-based services (HCBS) settings requirements set standards to ensure that Medicaid community-based services are non-institutional in nature. HCBS consumers must be integrated with the community, and given choices regarding services and supports, and who provides them.  Consumers also must be treated with dignity and respect, and be free from coercion and restraint.  Additional requirements apply when the service provider owns or otherwise controls the consumer’s residence. DOJ in </w:t>
      </w:r>
      <w:r w:rsidRPr="00B07009">
        <w:rPr>
          <w:rFonts w:eastAsia="Calibri"/>
          <w:i/>
        </w:rPr>
        <w:t>Olmstead</w:t>
      </w:r>
      <w:r w:rsidRPr="00B07009">
        <w:rPr>
          <w:rFonts w:eastAsia="Calibri"/>
        </w:rPr>
        <w:t xml:space="preserve"> settlement agreements with numerous states require</w:t>
      </w:r>
      <w:r w:rsidR="00E07933">
        <w:rPr>
          <w:rFonts w:eastAsia="Calibri"/>
        </w:rPr>
        <w:t>s</w:t>
      </w:r>
      <w:r w:rsidRPr="00B07009">
        <w:rPr>
          <w:rFonts w:eastAsia="Calibri"/>
        </w:rPr>
        <w:t xml:space="preserve"> states to identify or develop housing and supports to assist people with disabilities to move from institutions or segregated settings into the community. </w:t>
      </w:r>
    </w:p>
    <w:p w14:paraId="7C2EC0B3" w14:textId="77777777" w:rsidR="005C6DA0" w:rsidRPr="00B07009" w:rsidRDefault="005C6DA0">
      <w:pPr>
        <w:rPr>
          <w:rFonts w:eastAsia="Calibri"/>
        </w:rPr>
      </w:pPr>
    </w:p>
    <w:p w14:paraId="03BEB553" w14:textId="7B7D0B15" w:rsidR="00EC3745" w:rsidRPr="00B07009" w:rsidRDefault="00AD625A">
      <w:pPr>
        <w:rPr>
          <w:rFonts w:eastAsia="Calibri"/>
        </w:rPr>
      </w:pPr>
      <w:r w:rsidRPr="00B07009">
        <w:rPr>
          <w:rFonts w:eastAsia="Calibri"/>
        </w:rPr>
        <w:t xml:space="preserve">The CCD HTF urges the FHFA </w:t>
      </w:r>
      <w:r w:rsidR="00B77BDB" w:rsidRPr="00B07009">
        <w:rPr>
          <w:rFonts w:eastAsia="Calibri"/>
        </w:rPr>
        <w:t xml:space="preserve">to </w:t>
      </w:r>
      <w:r w:rsidRPr="00B07009">
        <w:rPr>
          <w:rFonts w:eastAsia="Calibri"/>
        </w:rPr>
        <w:t xml:space="preserve">provide incentives for the development of housing for people </w:t>
      </w:r>
      <w:r w:rsidR="004C7E9D" w:rsidRPr="00B07009">
        <w:rPr>
          <w:rFonts w:eastAsia="Calibri"/>
        </w:rPr>
        <w:t xml:space="preserve">with disabilities </w:t>
      </w:r>
      <w:r w:rsidR="00AD6161" w:rsidRPr="00B07009">
        <w:rPr>
          <w:rFonts w:eastAsia="Calibri"/>
        </w:rPr>
        <w:t xml:space="preserve">that is aligned with </w:t>
      </w:r>
      <w:r w:rsidR="004C7E9D" w:rsidRPr="00B07009">
        <w:rPr>
          <w:rFonts w:eastAsia="Calibri"/>
        </w:rPr>
        <w:t>federal policy goals of disability inclusion</w:t>
      </w:r>
      <w:r w:rsidR="00AD6161" w:rsidRPr="00B07009">
        <w:rPr>
          <w:rFonts w:eastAsia="Calibri"/>
        </w:rPr>
        <w:t xml:space="preserve"> and retains the maximum percentage of units to 25</w:t>
      </w:r>
      <w:r w:rsidR="005E7AA7" w:rsidRPr="00B07009">
        <w:rPr>
          <w:rFonts w:eastAsia="Calibri"/>
        </w:rPr>
        <w:t xml:space="preserve"> percent</w:t>
      </w:r>
      <w:r w:rsidR="004C7E9D" w:rsidRPr="00B07009">
        <w:rPr>
          <w:rFonts w:eastAsia="Calibri"/>
        </w:rPr>
        <w:t xml:space="preserve">, consistent </w:t>
      </w:r>
      <w:r w:rsidR="00AD6161" w:rsidRPr="00B07009">
        <w:rPr>
          <w:rFonts w:eastAsia="Calibri"/>
        </w:rPr>
        <w:t xml:space="preserve">with HUD’s Section 811 PRA program. </w:t>
      </w:r>
      <w:r w:rsidR="000D1E08" w:rsidRPr="00B07009">
        <w:rPr>
          <w:rFonts w:eastAsia="Calibri"/>
        </w:rPr>
        <w:t xml:space="preserve">We also recommend that FHFA clarify that supportive services must be offered on a voluntary basis, and </w:t>
      </w:r>
      <w:r w:rsidR="00E07933">
        <w:rPr>
          <w:rFonts w:eastAsia="Calibri"/>
        </w:rPr>
        <w:t xml:space="preserve">many </w:t>
      </w:r>
      <w:r w:rsidR="000D1E08" w:rsidRPr="00B07009">
        <w:rPr>
          <w:rFonts w:eastAsia="Calibri"/>
        </w:rPr>
        <w:t xml:space="preserve">not </w:t>
      </w:r>
      <w:r w:rsidR="00E07933">
        <w:rPr>
          <w:rFonts w:eastAsia="Calibri"/>
        </w:rPr>
        <w:t xml:space="preserve">be </w:t>
      </w:r>
      <w:r w:rsidR="000D1E08" w:rsidRPr="00B07009">
        <w:rPr>
          <w:rFonts w:eastAsia="Calibri"/>
        </w:rPr>
        <w:t xml:space="preserve">required. </w:t>
      </w:r>
    </w:p>
    <w:p w14:paraId="3415C1A2" w14:textId="77777777" w:rsidR="00EC3745" w:rsidRPr="00B07009" w:rsidRDefault="00EC3745">
      <w:pPr>
        <w:rPr>
          <w:rFonts w:eastAsia="Calibri"/>
        </w:rPr>
      </w:pPr>
    </w:p>
    <w:p w14:paraId="3733328E" w14:textId="59FC9395" w:rsidR="00E6784F" w:rsidRPr="00B07009" w:rsidRDefault="00E6784F">
      <w:pPr>
        <w:rPr>
          <w:rFonts w:eastAsia="Calibri"/>
        </w:rPr>
      </w:pPr>
      <w:r w:rsidRPr="00B07009">
        <w:rPr>
          <w:rFonts w:eastAsia="Calibri"/>
        </w:rPr>
        <w:t xml:space="preserve">We recommend that FHFA remove the term “persons with disabilities” from </w:t>
      </w:r>
      <w:r w:rsidR="00A94DC1">
        <w:rPr>
          <w:rFonts w:eastAsia="Calibri"/>
        </w:rPr>
        <w:t xml:space="preserve">12 </w:t>
      </w:r>
      <w:r w:rsidRPr="00B07009">
        <w:rPr>
          <w:rFonts w:eastAsia="Calibri"/>
        </w:rPr>
        <w:t xml:space="preserve">CFR 1291.48 (c)(1)(ii). Further we recommend that FHFA add a new section </w:t>
      </w:r>
      <w:r w:rsidR="00A94DC1">
        <w:rPr>
          <w:rFonts w:eastAsia="Calibri"/>
        </w:rPr>
        <w:t xml:space="preserve">12 </w:t>
      </w:r>
      <w:bookmarkStart w:id="0" w:name="_GoBack"/>
      <w:bookmarkEnd w:id="0"/>
      <w:r w:rsidRPr="00B07009">
        <w:rPr>
          <w:rFonts w:eastAsia="Calibri"/>
        </w:rPr>
        <w:t>CFR 1291.48 (c)</w:t>
      </w:r>
      <w:r w:rsidR="00E255BC" w:rsidRPr="00B07009">
        <w:rPr>
          <w:rFonts w:eastAsia="Calibri"/>
        </w:rPr>
        <w:t>(1)(vii) that reads:</w:t>
      </w:r>
    </w:p>
    <w:p w14:paraId="1A584A49" w14:textId="26FE47FF" w:rsidR="00E255BC" w:rsidRPr="00B07009" w:rsidRDefault="00E255BC">
      <w:pPr>
        <w:rPr>
          <w:rFonts w:eastAsia="Calibri"/>
        </w:rPr>
      </w:pPr>
    </w:p>
    <w:p w14:paraId="041CBF3B" w14:textId="112A75DC" w:rsidR="00E255BC" w:rsidRPr="00B07009" w:rsidRDefault="00C505AD">
      <w:pPr>
        <w:ind w:left="720"/>
        <w:rPr>
          <w:rFonts w:eastAsia="Calibri"/>
        </w:rPr>
      </w:pPr>
      <w:r w:rsidRPr="00B07009">
        <w:rPr>
          <w:rFonts w:eastAsia="Calibri"/>
        </w:rPr>
        <w:t xml:space="preserve">(vii) </w:t>
      </w:r>
      <w:r w:rsidRPr="00B07009">
        <w:rPr>
          <w:rFonts w:eastAsia="Calibri"/>
          <w:i/>
        </w:rPr>
        <w:t xml:space="preserve">Housing for people with </w:t>
      </w:r>
      <w:r w:rsidR="00394B03" w:rsidRPr="00B07009">
        <w:rPr>
          <w:rFonts w:eastAsia="Calibri"/>
          <w:i/>
        </w:rPr>
        <w:t>disabilities</w:t>
      </w:r>
      <w:r w:rsidRPr="00B07009">
        <w:rPr>
          <w:rFonts w:eastAsia="Calibri"/>
          <w:i/>
        </w:rPr>
        <w:t>.</w:t>
      </w:r>
      <w:r w:rsidRPr="00B07009">
        <w:rPr>
          <w:rFonts w:eastAsia="Calibri"/>
        </w:rPr>
        <w:t xml:space="preserve"> The financing</w:t>
      </w:r>
      <w:r w:rsidR="00EC3745" w:rsidRPr="00B07009">
        <w:rPr>
          <w:rFonts w:eastAsia="Calibri"/>
        </w:rPr>
        <w:t xml:space="preserve"> of housing</w:t>
      </w:r>
      <w:r w:rsidRPr="00B07009">
        <w:rPr>
          <w:rFonts w:eastAsia="Calibri"/>
        </w:rPr>
        <w:t xml:space="preserve"> in which no more than 25 percent of the units are reserved </w:t>
      </w:r>
      <w:r w:rsidR="00394B03" w:rsidRPr="00B07009">
        <w:rPr>
          <w:rFonts w:eastAsia="Calibri"/>
        </w:rPr>
        <w:t>for,</w:t>
      </w:r>
      <w:r w:rsidRPr="00B07009">
        <w:rPr>
          <w:rFonts w:eastAsia="Calibri"/>
        </w:rPr>
        <w:t xml:space="preserve"> and provide </w:t>
      </w:r>
      <w:r w:rsidR="005C6DA0" w:rsidRPr="00B07009">
        <w:rPr>
          <w:rFonts w:eastAsia="Calibri"/>
        </w:rPr>
        <w:t xml:space="preserve">voluntary </w:t>
      </w:r>
      <w:r w:rsidRPr="00B07009">
        <w:rPr>
          <w:rFonts w:eastAsia="Calibri"/>
        </w:rPr>
        <w:t xml:space="preserve">supportive services for, households that include persons with disabilities.  </w:t>
      </w:r>
    </w:p>
    <w:p w14:paraId="61138AB5" w14:textId="77777777" w:rsidR="00087661" w:rsidRPr="00B07009" w:rsidRDefault="00087661">
      <w:pPr>
        <w:rPr>
          <w:rFonts w:eastAsia="Calibri"/>
        </w:rPr>
      </w:pPr>
    </w:p>
    <w:p w14:paraId="0CD34867" w14:textId="58E1746B" w:rsidR="00EF42FD" w:rsidRPr="00B07009" w:rsidRDefault="00C505AD">
      <w:pPr>
        <w:rPr>
          <w:rFonts w:eastAsia="Calibri"/>
        </w:rPr>
      </w:pPr>
      <w:r w:rsidRPr="00B07009">
        <w:rPr>
          <w:rFonts w:eastAsia="Calibri"/>
        </w:rPr>
        <w:t xml:space="preserve">With this recommendation, the CCD HTF seeks </w:t>
      </w:r>
      <w:r w:rsidR="00394B03" w:rsidRPr="00B07009">
        <w:rPr>
          <w:rFonts w:eastAsia="Calibri"/>
        </w:rPr>
        <w:t>to</w:t>
      </w:r>
      <w:r w:rsidRPr="00B07009">
        <w:rPr>
          <w:rFonts w:eastAsia="Calibri"/>
        </w:rPr>
        <w:t xml:space="preserve"> ensure that the </w:t>
      </w:r>
      <w:r w:rsidR="00394B03" w:rsidRPr="00B07009">
        <w:rPr>
          <w:rFonts w:eastAsia="Calibri"/>
        </w:rPr>
        <w:t>Federal</w:t>
      </w:r>
      <w:r w:rsidRPr="00B07009">
        <w:rPr>
          <w:rFonts w:eastAsia="Calibri"/>
        </w:rPr>
        <w:t xml:space="preserve"> Home Loan </w:t>
      </w:r>
      <w:r w:rsidR="00394B03" w:rsidRPr="00B07009">
        <w:rPr>
          <w:rFonts w:eastAsia="Calibri"/>
        </w:rPr>
        <w:t>Banks</w:t>
      </w:r>
      <w:r w:rsidRPr="00B07009">
        <w:rPr>
          <w:rFonts w:eastAsia="Calibri"/>
        </w:rPr>
        <w:t xml:space="preserve"> Affordable </w:t>
      </w:r>
      <w:r w:rsidR="00394B03" w:rsidRPr="00B07009">
        <w:rPr>
          <w:rFonts w:eastAsia="Calibri"/>
        </w:rPr>
        <w:t>Housing</w:t>
      </w:r>
      <w:r w:rsidRPr="00B07009">
        <w:rPr>
          <w:rFonts w:eastAsia="Calibri"/>
        </w:rPr>
        <w:t xml:space="preserve"> </w:t>
      </w:r>
      <w:r w:rsidR="00394B03" w:rsidRPr="00B07009">
        <w:rPr>
          <w:rFonts w:eastAsia="Calibri"/>
        </w:rPr>
        <w:t>Programs</w:t>
      </w:r>
      <w:r w:rsidRPr="00B07009">
        <w:rPr>
          <w:rFonts w:eastAsia="Calibri"/>
        </w:rPr>
        <w:t xml:space="preserve"> provides an equal incentive for these units to be constructed while </w:t>
      </w:r>
      <w:r w:rsidR="00394B03" w:rsidRPr="00B07009">
        <w:rPr>
          <w:rFonts w:eastAsia="Calibri"/>
        </w:rPr>
        <w:t>aligning</w:t>
      </w:r>
      <w:r w:rsidRPr="00B07009">
        <w:rPr>
          <w:rFonts w:eastAsia="Calibri"/>
        </w:rPr>
        <w:t xml:space="preserve"> with the goals and principles of </w:t>
      </w:r>
      <w:r w:rsidRPr="00B07009">
        <w:rPr>
          <w:rFonts w:eastAsia="Calibri"/>
          <w:i/>
        </w:rPr>
        <w:t>Olmstead</w:t>
      </w:r>
      <w:r w:rsidRPr="00B07009">
        <w:rPr>
          <w:rFonts w:eastAsia="Calibri"/>
        </w:rPr>
        <w:t xml:space="preserve"> as well as other federal agencies.</w:t>
      </w:r>
    </w:p>
    <w:p w14:paraId="433AC875" w14:textId="77777777" w:rsidR="00EF42FD" w:rsidRPr="00B07009" w:rsidRDefault="00EF42FD">
      <w:pPr>
        <w:rPr>
          <w:rFonts w:eastAsia="Calibri"/>
        </w:rPr>
      </w:pPr>
    </w:p>
    <w:p w14:paraId="4CD5C032" w14:textId="77777777" w:rsidR="00EF42FD" w:rsidRPr="00B07009" w:rsidRDefault="00EF42FD">
      <w:pPr>
        <w:rPr>
          <w:rFonts w:eastAsia="Calibri"/>
        </w:rPr>
      </w:pPr>
    </w:p>
    <w:p w14:paraId="5B165221" w14:textId="77777777" w:rsidR="00B07009" w:rsidRDefault="00B07009">
      <w:pPr>
        <w:rPr>
          <w:rFonts w:eastAsia="Calibri"/>
        </w:rPr>
      </w:pPr>
      <w:r>
        <w:rPr>
          <w:rFonts w:eastAsia="Calibri"/>
        </w:rPr>
        <w:br w:type="page"/>
      </w:r>
    </w:p>
    <w:p w14:paraId="70AAFA13" w14:textId="1A236640" w:rsidR="007B7816" w:rsidRPr="00B07009" w:rsidRDefault="007B7816">
      <w:pPr>
        <w:rPr>
          <w:rFonts w:eastAsia="Calibri"/>
        </w:rPr>
      </w:pPr>
      <w:r w:rsidRPr="00B07009">
        <w:rPr>
          <w:rFonts w:eastAsia="Calibri"/>
        </w:rPr>
        <w:lastRenderedPageBreak/>
        <w:t xml:space="preserve">Thank you again for the opportunity to comment on </w:t>
      </w:r>
      <w:r w:rsidR="00EF42FD" w:rsidRPr="00B07009">
        <w:t>Federal Housing Finance Agency, March 14, 2018 Federal Register Notice</w:t>
      </w:r>
      <w:r w:rsidR="005C6DA0" w:rsidRPr="00B07009">
        <w:t>,</w:t>
      </w:r>
      <w:r w:rsidR="00EF42FD" w:rsidRPr="00B07009">
        <w:t xml:space="preserve"> “Affordable Housing Program Amendments”.</w:t>
      </w:r>
    </w:p>
    <w:p w14:paraId="6A48AAA7" w14:textId="77777777" w:rsidR="007B7816" w:rsidRPr="00B07009" w:rsidRDefault="007B7816">
      <w:pPr>
        <w:rPr>
          <w:rFonts w:eastAsia="Calibri"/>
        </w:rPr>
      </w:pPr>
    </w:p>
    <w:p w14:paraId="00C7BD56" w14:textId="77777777" w:rsidR="007B7816" w:rsidRPr="00B07009" w:rsidRDefault="007B7816">
      <w:pPr>
        <w:rPr>
          <w:rFonts w:eastAsia="Calibri"/>
        </w:rPr>
      </w:pPr>
      <w:r w:rsidRPr="00B07009">
        <w:rPr>
          <w:rFonts w:eastAsia="Calibri"/>
        </w:rPr>
        <w:t>Sincerely,</w:t>
      </w:r>
    </w:p>
    <w:p w14:paraId="09B7389A" w14:textId="77777777" w:rsidR="007B7816" w:rsidRPr="00B07009" w:rsidRDefault="007B7816">
      <w:pPr>
        <w:rPr>
          <w:rFonts w:eastAsiaTheme="minorHAnsi"/>
        </w:rPr>
      </w:pPr>
    </w:p>
    <w:p w14:paraId="550333CD" w14:textId="77777777" w:rsidR="007B7816" w:rsidRPr="00B07009" w:rsidRDefault="007B7816">
      <w:r w:rsidRPr="00B07009">
        <w:t>Andrew Sperling, National Alliance on Mental Illness</w:t>
      </w:r>
    </w:p>
    <w:p w14:paraId="76E72C3A" w14:textId="77777777" w:rsidR="007B7816" w:rsidRPr="00B07009" w:rsidRDefault="007B7816">
      <w:r w:rsidRPr="00B07009">
        <w:t>Co-Chair, CCD Housing Task Force</w:t>
      </w:r>
    </w:p>
    <w:p w14:paraId="1D98B30B" w14:textId="77777777" w:rsidR="007B7816" w:rsidRPr="00B07009" w:rsidRDefault="007B7816"/>
    <w:p w14:paraId="06197E26" w14:textId="77777777" w:rsidR="007B7816" w:rsidRPr="00B07009" w:rsidRDefault="007B7816">
      <w:r w:rsidRPr="00B07009">
        <w:t>T.J. Sutcliffe, The Arc of the United States</w:t>
      </w:r>
    </w:p>
    <w:p w14:paraId="1B09206B" w14:textId="77777777" w:rsidR="007B7816" w:rsidRPr="00B07009" w:rsidRDefault="007B7816">
      <w:r w:rsidRPr="00B07009">
        <w:t>Co-Chair, CCD Housing Task Force</w:t>
      </w:r>
    </w:p>
    <w:p w14:paraId="27794BB4" w14:textId="3057B341" w:rsidR="0060095E" w:rsidRPr="00B07009" w:rsidRDefault="007B7816">
      <w:r w:rsidRPr="00B07009">
        <w:br/>
      </w:r>
    </w:p>
    <w:sectPr w:rsidR="0060095E" w:rsidRPr="00B07009" w:rsidSect="003A1176">
      <w:footerReference w:type="even" r:id="rId10"/>
      <w:footerReference w:type="default" r:id="rId11"/>
      <w:headerReference w:type="first" r:id="rId12"/>
      <w:footerReference w:type="first" r:id="rId13"/>
      <w:endnotePr>
        <w:numFmt w:val="decimal"/>
      </w:endnotePr>
      <w:type w:val="continuous"/>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DE305" w14:textId="77777777" w:rsidR="003B58DD" w:rsidRDefault="003B58DD">
      <w:r>
        <w:separator/>
      </w:r>
    </w:p>
  </w:endnote>
  <w:endnote w:type="continuationSeparator" w:id="0">
    <w:p w14:paraId="010C64F4" w14:textId="77777777" w:rsidR="003B58DD" w:rsidRDefault="003B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Freestyle Script">
    <w:altName w:val="Chalkboard"/>
    <w:charset w:val="00"/>
    <w:family w:val="script"/>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Effra">
    <w:altName w:val="Effra"/>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0751B" w14:textId="77777777" w:rsidR="00C34B6A" w:rsidRDefault="00C34B6A" w:rsidP="00087F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09459C" w14:textId="77777777" w:rsidR="00C34B6A" w:rsidRDefault="00C34B6A" w:rsidP="001A653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C496D" w14:textId="0580A207" w:rsidR="00C34B6A" w:rsidRPr="00A64731" w:rsidRDefault="00C34B6A" w:rsidP="00087F81">
    <w:pPr>
      <w:pStyle w:val="Footer"/>
      <w:framePr w:wrap="around" w:vAnchor="text" w:hAnchor="margin" w:xAlign="right" w:y="1"/>
      <w:rPr>
        <w:rStyle w:val="PageNumber"/>
        <w:rFonts w:ascii="Arial" w:hAnsi="Arial" w:cs="Arial"/>
        <w:sz w:val="20"/>
        <w:szCs w:val="20"/>
      </w:rPr>
    </w:pPr>
    <w:r w:rsidRPr="00A64731">
      <w:rPr>
        <w:rStyle w:val="PageNumber"/>
        <w:rFonts w:ascii="Arial" w:hAnsi="Arial" w:cs="Arial"/>
        <w:sz w:val="20"/>
        <w:szCs w:val="20"/>
      </w:rPr>
      <w:fldChar w:fldCharType="begin"/>
    </w:r>
    <w:r w:rsidRPr="00A64731">
      <w:rPr>
        <w:rStyle w:val="PageNumber"/>
        <w:rFonts w:ascii="Arial" w:hAnsi="Arial" w:cs="Arial"/>
        <w:sz w:val="20"/>
        <w:szCs w:val="20"/>
      </w:rPr>
      <w:instrText xml:space="preserve">PAGE  </w:instrText>
    </w:r>
    <w:r w:rsidRPr="00A64731">
      <w:rPr>
        <w:rStyle w:val="PageNumber"/>
        <w:rFonts w:ascii="Arial" w:hAnsi="Arial" w:cs="Arial"/>
        <w:sz w:val="20"/>
        <w:szCs w:val="20"/>
      </w:rPr>
      <w:fldChar w:fldCharType="separate"/>
    </w:r>
    <w:r w:rsidR="00A94DC1">
      <w:rPr>
        <w:rStyle w:val="PageNumber"/>
        <w:rFonts w:ascii="Arial" w:hAnsi="Arial" w:cs="Arial"/>
        <w:noProof/>
        <w:sz w:val="20"/>
        <w:szCs w:val="20"/>
      </w:rPr>
      <w:t>6</w:t>
    </w:r>
    <w:r w:rsidRPr="00A64731">
      <w:rPr>
        <w:rStyle w:val="PageNumber"/>
        <w:rFonts w:ascii="Arial" w:hAnsi="Arial" w:cs="Arial"/>
        <w:sz w:val="20"/>
        <w:szCs w:val="20"/>
      </w:rPr>
      <w:fldChar w:fldCharType="end"/>
    </w:r>
  </w:p>
  <w:p w14:paraId="19E9C36D" w14:textId="77777777" w:rsidR="00C34B6A" w:rsidRDefault="00C34B6A" w:rsidP="001A6537">
    <w:pPr>
      <w:pStyle w:val="Footer"/>
      <w:tabs>
        <w:tab w:val="clear" w:pos="8640"/>
        <w:tab w:val="right" w:pos="9000"/>
        <w:tab w:val="right" w:pos="9180"/>
      </w:tabs>
      <w:ind w:left="-360" w:right="360" w:hanging="180"/>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EFEF" w14:textId="77777777" w:rsidR="00C34B6A" w:rsidRDefault="00C34B6A">
    <w:pPr>
      <w:pStyle w:val="Footer"/>
      <w:tabs>
        <w:tab w:val="clear" w:pos="8640"/>
        <w:tab w:val="right" w:pos="9540"/>
      </w:tabs>
      <w:ind w:left="-360" w:right="-360"/>
    </w:pPr>
    <w:r>
      <w:rPr>
        <w:noProof/>
        <w:sz w:val="20"/>
      </w:rPr>
      <mc:AlternateContent>
        <mc:Choice Requires="wps">
          <w:drawing>
            <wp:anchor distT="0" distB="0" distL="114300" distR="114300" simplePos="0" relativeHeight="251657728" behindDoc="0" locked="0" layoutInCell="0" allowOverlap="1" wp14:anchorId="278685D1" wp14:editId="6EC868E8">
              <wp:simplePos x="0" y="0"/>
              <wp:positionH relativeFrom="column">
                <wp:posOffset>-679450</wp:posOffset>
              </wp:positionH>
              <wp:positionV relativeFrom="paragraph">
                <wp:posOffset>-7620</wp:posOffset>
              </wp:positionV>
              <wp:extent cx="7315200" cy="365760"/>
              <wp:effectExtent l="0" t="1905" r="317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D7F26" w14:textId="70FAF26C" w:rsidR="00C34B6A" w:rsidRDefault="00386A9C" w:rsidP="00B95AA0">
                          <w:pPr>
                            <w:jc w:val="center"/>
                          </w:pPr>
                          <w:r>
                            <w:rPr>
                              <w:rFonts w:ascii="Arial" w:hAnsi="Arial" w:cs="Arial"/>
                              <w:color w:val="333399"/>
                              <w:sz w:val="18"/>
                            </w:rPr>
                            <w:t>820 First Street</w:t>
                          </w:r>
                          <w:r w:rsidR="00C34B6A" w:rsidRPr="00730885">
                            <w:rPr>
                              <w:rFonts w:ascii="Arial" w:hAnsi="Arial" w:cs="Arial"/>
                              <w:color w:val="333399"/>
                              <w:sz w:val="18"/>
                            </w:rPr>
                            <w:t xml:space="preserve">, </w:t>
                          </w:r>
                          <w:r>
                            <w:rPr>
                              <w:rFonts w:ascii="Arial" w:hAnsi="Arial" w:cs="Arial"/>
                              <w:color w:val="333399"/>
                              <w:sz w:val="18"/>
                            </w:rPr>
                            <w:t xml:space="preserve">NE </w:t>
                          </w:r>
                          <w:r w:rsidR="00C34B6A" w:rsidRPr="00730885">
                            <w:rPr>
                              <w:rFonts w:ascii="Arial" w:hAnsi="Arial" w:cs="Arial"/>
                              <w:color w:val="333399"/>
                              <w:sz w:val="18"/>
                            </w:rPr>
                            <w:t xml:space="preserve">Suite </w:t>
                          </w:r>
                          <w:r>
                            <w:rPr>
                              <w:rFonts w:ascii="Arial" w:hAnsi="Arial" w:cs="Arial"/>
                              <w:color w:val="333399"/>
                              <w:sz w:val="18"/>
                            </w:rPr>
                            <w:t>740</w:t>
                          </w:r>
                          <w:r w:rsidR="00C34B6A" w:rsidRPr="00730885">
                            <w:rPr>
                              <w:rFonts w:ascii="Arial" w:hAnsi="Arial" w:cs="Arial"/>
                              <w:color w:val="333399"/>
                              <w:sz w:val="18"/>
                            </w:rPr>
                            <w:t xml:space="preserve"> </w:t>
                          </w:r>
                          <w:r w:rsidR="00C34B6A" w:rsidRPr="00730885">
                            <w:rPr>
                              <w:rFonts w:ascii="Arial" w:hAnsi="Arial" w:cs="Arial"/>
                              <w:noProof/>
                              <w:color w:val="333399"/>
                              <w:sz w:val="18"/>
                            </w:rPr>
                            <w:t>•</w:t>
                          </w:r>
                          <w:r w:rsidR="00C34B6A" w:rsidRPr="00730885">
                            <w:rPr>
                              <w:rFonts w:ascii="Arial" w:hAnsi="Arial" w:cs="Arial"/>
                              <w:color w:val="333399"/>
                              <w:sz w:val="18"/>
                            </w:rPr>
                            <w:t xml:space="preserve"> Washington, DC  200</w:t>
                          </w:r>
                          <w:r w:rsidR="00C34B6A">
                            <w:rPr>
                              <w:rFonts w:ascii="Arial" w:hAnsi="Arial" w:cs="Arial"/>
                              <w:color w:val="333399"/>
                              <w:sz w:val="18"/>
                            </w:rPr>
                            <w:t>0</w:t>
                          </w:r>
                          <w:r>
                            <w:rPr>
                              <w:rFonts w:ascii="Arial" w:hAnsi="Arial" w:cs="Arial"/>
                              <w:color w:val="333399"/>
                              <w:sz w:val="18"/>
                            </w:rPr>
                            <w:t>2</w:t>
                          </w:r>
                          <w:r w:rsidR="00C34B6A" w:rsidRPr="00730885">
                            <w:rPr>
                              <w:rFonts w:ascii="Arial" w:hAnsi="Arial" w:cs="Arial"/>
                              <w:color w:val="333399"/>
                              <w:sz w:val="18"/>
                            </w:rPr>
                            <w:t xml:space="preserve"> </w:t>
                          </w:r>
                          <w:r w:rsidR="00C34B6A" w:rsidRPr="00730885">
                            <w:rPr>
                              <w:rFonts w:ascii="Arial" w:hAnsi="Arial" w:cs="Arial"/>
                              <w:noProof/>
                              <w:color w:val="333399"/>
                              <w:sz w:val="18"/>
                            </w:rPr>
                            <w:t>•</w:t>
                          </w:r>
                          <w:r w:rsidR="00C34B6A">
                            <w:rPr>
                              <w:rFonts w:ascii="Arial" w:hAnsi="Arial" w:cs="Arial"/>
                              <w:color w:val="333399"/>
                              <w:sz w:val="18"/>
                            </w:rPr>
                            <w:t xml:space="preserve"> PH 202-</w:t>
                          </w:r>
                          <w:r>
                            <w:rPr>
                              <w:rFonts w:ascii="Arial" w:hAnsi="Arial" w:cs="Arial"/>
                              <w:color w:val="333399"/>
                              <w:sz w:val="18"/>
                            </w:rPr>
                            <w:t>567</w:t>
                          </w:r>
                          <w:r w:rsidR="00C34B6A" w:rsidRPr="00730885">
                            <w:rPr>
                              <w:rFonts w:ascii="Arial" w:hAnsi="Arial" w:cs="Arial"/>
                              <w:color w:val="333399"/>
                              <w:sz w:val="18"/>
                            </w:rPr>
                            <w:t>-</w:t>
                          </w:r>
                          <w:r>
                            <w:rPr>
                              <w:rFonts w:ascii="Arial" w:hAnsi="Arial" w:cs="Arial"/>
                              <w:color w:val="333399"/>
                              <w:sz w:val="18"/>
                            </w:rPr>
                            <w:t>3516</w:t>
                          </w:r>
                          <w:r w:rsidR="00C34B6A" w:rsidRPr="00730885">
                            <w:rPr>
                              <w:rFonts w:ascii="Arial" w:hAnsi="Arial" w:cs="Arial"/>
                              <w:color w:val="333399"/>
                              <w:sz w:val="18"/>
                            </w:rPr>
                            <w:t xml:space="preserve"> </w:t>
                          </w:r>
                          <w:r w:rsidR="00C34B6A" w:rsidRPr="00730885">
                            <w:rPr>
                              <w:rFonts w:ascii="Arial" w:hAnsi="Arial" w:cs="Arial"/>
                              <w:noProof/>
                              <w:color w:val="333399"/>
                              <w:sz w:val="18"/>
                            </w:rPr>
                            <w:t>•</w:t>
                          </w:r>
                          <w:r w:rsidR="00C34B6A" w:rsidRPr="00730885">
                            <w:rPr>
                              <w:rFonts w:ascii="Arial" w:hAnsi="Arial" w:cs="Arial"/>
                              <w:color w:val="333399"/>
                              <w:sz w:val="18"/>
                            </w:rPr>
                            <w:t xml:space="preserve"> FAX </w:t>
                          </w:r>
                          <w:r w:rsidR="00C34B6A">
                            <w:rPr>
                              <w:rFonts w:ascii="Arial" w:hAnsi="Arial" w:cs="Arial"/>
                              <w:color w:val="333399"/>
                              <w:sz w:val="18"/>
                            </w:rPr>
                            <w:t>202-</w:t>
                          </w:r>
                          <w:r>
                            <w:rPr>
                              <w:rFonts w:ascii="Arial" w:hAnsi="Arial" w:cs="Arial"/>
                              <w:color w:val="333399"/>
                              <w:sz w:val="18"/>
                            </w:rPr>
                            <w:t>408</w:t>
                          </w:r>
                          <w:r w:rsidR="00C34B6A" w:rsidRPr="00730885">
                            <w:rPr>
                              <w:rFonts w:ascii="Arial" w:hAnsi="Arial" w:cs="Arial"/>
                              <w:color w:val="333399"/>
                              <w:sz w:val="18"/>
                            </w:rPr>
                            <w:t>-</w:t>
                          </w:r>
                          <w:r>
                            <w:rPr>
                              <w:rFonts w:ascii="Arial" w:hAnsi="Arial" w:cs="Arial"/>
                              <w:color w:val="333399"/>
                              <w:sz w:val="18"/>
                            </w:rPr>
                            <w:t>9520</w:t>
                          </w:r>
                          <w:r w:rsidR="00C34B6A" w:rsidRPr="00730885">
                            <w:rPr>
                              <w:rFonts w:ascii="Arial" w:hAnsi="Arial" w:cs="Arial"/>
                              <w:color w:val="333399"/>
                              <w:sz w:val="18"/>
                            </w:rPr>
                            <w:t xml:space="preserve"> </w:t>
                          </w:r>
                          <w:r w:rsidR="00C34B6A" w:rsidRPr="00730885">
                            <w:rPr>
                              <w:rFonts w:ascii="Arial" w:hAnsi="Arial" w:cs="Arial"/>
                              <w:noProof/>
                              <w:color w:val="333399"/>
                              <w:sz w:val="18"/>
                            </w:rPr>
                            <w:t>• Info@c-c-d.org • www.c-c-d.org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53.45pt;margin-top:-.55pt;width:8in;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" o:allowincell="f" stroked="f">
              <v:textbox>
                <w:txbxContent>
                  <w:p w14:paraId="196D7F26" w14:textId="70FAF26C" w:rsidR="00C34B6A" w:rsidRDefault="00386A9C" w:rsidP="00B95AA0">
                    <w:pPr>
                      <w:jc w:val="center"/>
                    </w:pPr>
                    <w:r>
                      <w:rPr>
                        <w:rFonts w:ascii="Arial" w:hAnsi="Arial" w:cs="Arial"/>
                        <w:color w:val="333399"/>
                        <w:sz w:val="18"/>
                      </w:rPr>
                      <w:t>820 First Street</w:t>
                    </w:r>
                    <w:r w:rsidR="00C34B6A" w:rsidRPr="00730885">
                      <w:rPr>
                        <w:rFonts w:ascii="Arial" w:hAnsi="Arial" w:cs="Arial"/>
                        <w:color w:val="333399"/>
                        <w:sz w:val="18"/>
                      </w:rPr>
                      <w:t xml:space="preserve">, </w:t>
                    </w:r>
                    <w:r>
                      <w:rPr>
                        <w:rFonts w:ascii="Arial" w:hAnsi="Arial" w:cs="Arial"/>
                        <w:color w:val="333399"/>
                        <w:sz w:val="18"/>
                      </w:rPr>
                      <w:t xml:space="preserve">NE </w:t>
                    </w:r>
                    <w:r w:rsidR="00C34B6A" w:rsidRPr="00730885">
                      <w:rPr>
                        <w:rFonts w:ascii="Arial" w:hAnsi="Arial" w:cs="Arial"/>
                        <w:color w:val="333399"/>
                        <w:sz w:val="18"/>
                      </w:rPr>
                      <w:t xml:space="preserve">Suite </w:t>
                    </w:r>
                    <w:r>
                      <w:rPr>
                        <w:rFonts w:ascii="Arial" w:hAnsi="Arial" w:cs="Arial"/>
                        <w:color w:val="333399"/>
                        <w:sz w:val="18"/>
                      </w:rPr>
                      <w:t>740</w:t>
                    </w:r>
                    <w:r w:rsidR="00C34B6A" w:rsidRPr="00730885">
                      <w:rPr>
                        <w:rFonts w:ascii="Arial" w:hAnsi="Arial" w:cs="Arial"/>
                        <w:color w:val="333399"/>
                        <w:sz w:val="18"/>
                      </w:rPr>
                      <w:t xml:space="preserve"> </w:t>
                    </w:r>
                    <w:r w:rsidR="00C34B6A" w:rsidRPr="00730885">
                      <w:rPr>
                        <w:rFonts w:ascii="Arial" w:hAnsi="Arial" w:cs="Arial"/>
                        <w:noProof/>
                        <w:color w:val="333399"/>
                        <w:sz w:val="18"/>
                      </w:rPr>
                      <w:t>•</w:t>
                    </w:r>
                    <w:r w:rsidR="00C34B6A" w:rsidRPr="00730885">
                      <w:rPr>
                        <w:rFonts w:ascii="Arial" w:hAnsi="Arial" w:cs="Arial"/>
                        <w:color w:val="333399"/>
                        <w:sz w:val="18"/>
                      </w:rPr>
                      <w:t xml:space="preserve"> Washington, DC  200</w:t>
                    </w:r>
                    <w:r w:rsidR="00C34B6A">
                      <w:rPr>
                        <w:rFonts w:ascii="Arial" w:hAnsi="Arial" w:cs="Arial"/>
                        <w:color w:val="333399"/>
                        <w:sz w:val="18"/>
                      </w:rPr>
                      <w:t>0</w:t>
                    </w:r>
                    <w:r>
                      <w:rPr>
                        <w:rFonts w:ascii="Arial" w:hAnsi="Arial" w:cs="Arial"/>
                        <w:color w:val="333399"/>
                        <w:sz w:val="18"/>
                      </w:rPr>
                      <w:t>2</w:t>
                    </w:r>
                    <w:r w:rsidR="00C34B6A" w:rsidRPr="00730885">
                      <w:rPr>
                        <w:rFonts w:ascii="Arial" w:hAnsi="Arial" w:cs="Arial"/>
                        <w:color w:val="333399"/>
                        <w:sz w:val="18"/>
                      </w:rPr>
                      <w:t xml:space="preserve"> </w:t>
                    </w:r>
                    <w:r w:rsidR="00C34B6A" w:rsidRPr="00730885">
                      <w:rPr>
                        <w:rFonts w:ascii="Arial" w:hAnsi="Arial" w:cs="Arial"/>
                        <w:noProof/>
                        <w:color w:val="333399"/>
                        <w:sz w:val="18"/>
                      </w:rPr>
                      <w:t>•</w:t>
                    </w:r>
                    <w:r w:rsidR="00C34B6A">
                      <w:rPr>
                        <w:rFonts w:ascii="Arial" w:hAnsi="Arial" w:cs="Arial"/>
                        <w:color w:val="333399"/>
                        <w:sz w:val="18"/>
                      </w:rPr>
                      <w:t xml:space="preserve"> PH 202-</w:t>
                    </w:r>
                    <w:r>
                      <w:rPr>
                        <w:rFonts w:ascii="Arial" w:hAnsi="Arial" w:cs="Arial"/>
                        <w:color w:val="333399"/>
                        <w:sz w:val="18"/>
                      </w:rPr>
                      <w:t>567</w:t>
                    </w:r>
                    <w:r w:rsidR="00C34B6A" w:rsidRPr="00730885">
                      <w:rPr>
                        <w:rFonts w:ascii="Arial" w:hAnsi="Arial" w:cs="Arial"/>
                        <w:color w:val="333399"/>
                        <w:sz w:val="18"/>
                      </w:rPr>
                      <w:t>-</w:t>
                    </w:r>
                    <w:r>
                      <w:rPr>
                        <w:rFonts w:ascii="Arial" w:hAnsi="Arial" w:cs="Arial"/>
                        <w:color w:val="333399"/>
                        <w:sz w:val="18"/>
                      </w:rPr>
                      <w:t>3516</w:t>
                    </w:r>
                    <w:r w:rsidR="00C34B6A" w:rsidRPr="00730885">
                      <w:rPr>
                        <w:rFonts w:ascii="Arial" w:hAnsi="Arial" w:cs="Arial"/>
                        <w:color w:val="333399"/>
                        <w:sz w:val="18"/>
                      </w:rPr>
                      <w:t xml:space="preserve"> </w:t>
                    </w:r>
                    <w:r w:rsidR="00C34B6A" w:rsidRPr="00730885">
                      <w:rPr>
                        <w:rFonts w:ascii="Arial" w:hAnsi="Arial" w:cs="Arial"/>
                        <w:noProof/>
                        <w:color w:val="333399"/>
                        <w:sz w:val="18"/>
                      </w:rPr>
                      <w:t>•</w:t>
                    </w:r>
                    <w:r w:rsidR="00C34B6A" w:rsidRPr="00730885">
                      <w:rPr>
                        <w:rFonts w:ascii="Arial" w:hAnsi="Arial" w:cs="Arial"/>
                        <w:color w:val="333399"/>
                        <w:sz w:val="18"/>
                      </w:rPr>
                      <w:t xml:space="preserve"> FAX </w:t>
                    </w:r>
                    <w:r w:rsidR="00C34B6A">
                      <w:rPr>
                        <w:rFonts w:ascii="Arial" w:hAnsi="Arial" w:cs="Arial"/>
                        <w:color w:val="333399"/>
                        <w:sz w:val="18"/>
                      </w:rPr>
                      <w:t>202-</w:t>
                    </w:r>
                    <w:r>
                      <w:rPr>
                        <w:rFonts w:ascii="Arial" w:hAnsi="Arial" w:cs="Arial"/>
                        <w:color w:val="333399"/>
                        <w:sz w:val="18"/>
                      </w:rPr>
                      <w:t>408</w:t>
                    </w:r>
                    <w:r w:rsidR="00C34B6A" w:rsidRPr="00730885">
                      <w:rPr>
                        <w:rFonts w:ascii="Arial" w:hAnsi="Arial" w:cs="Arial"/>
                        <w:color w:val="333399"/>
                        <w:sz w:val="18"/>
                      </w:rPr>
                      <w:t>-</w:t>
                    </w:r>
                    <w:r>
                      <w:rPr>
                        <w:rFonts w:ascii="Arial" w:hAnsi="Arial" w:cs="Arial"/>
                        <w:color w:val="333399"/>
                        <w:sz w:val="18"/>
                      </w:rPr>
                      <w:t>9520</w:t>
                    </w:r>
                    <w:r w:rsidR="00C34B6A" w:rsidRPr="00730885">
                      <w:rPr>
                        <w:rFonts w:ascii="Arial" w:hAnsi="Arial" w:cs="Arial"/>
                        <w:color w:val="333399"/>
                        <w:sz w:val="18"/>
                      </w:rPr>
                      <w:t xml:space="preserve"> </w:t>
                    </w:r>
                    <w:r w:rsidR="00C34B6A" w:rsidRPr="00730885">
                      <w:rPr>
                        <w:rFonts w:ascii="Arial" w:hAnsi="Arial" w:cs="Arial"/>
                        <w:noProof/>
                        <w:color w:val="333399"/>
                        <w:sz w:val="18"/>
                      </w:rPr>
                      <w:t>• Info@c-c-d.org • www.c-c-d.org</w:t>
                    </w:r>
                  </w:p>
                </w:txbxContent>
              </v:textbox>
            </v:shape>
          </w:pict>
        </mc:Fallback>
      </mc:AlternateContent>
    </w:r>
    <w:r>
      <w:t>660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FEB41" w14:textId="77777777" w:rsidR="003B58DD" w:rsidRDefault="003B58DD">
      <w:r>
        <w:separator/>
      </w:r>
    </w:p>
  </w:footnote>
  <w:footnote w:type="continuationSeparator" w:id="0">
    <w:p w14:paraId="0C596EA4" w14:textId="77777777" w:rsidR="003B58DD" w:rsidRDefault="003B58DD">
      <w:r>
        <w:continuationSeparator/>
      </w:r>
    </w:p>
  </w:footnote>
  <w:footnote w:id="1">
    <w:p w14:paraId="715297A3" w14:textId="3FAA002F" w:rsidR="00974EC7" w:rsidRDefault="00974EC7" w:rsidP="00F42C17">
      <w:pPr>
        <w:pStyle w:val="FootnoteText"/>
      </w:pPr>
      <w:r>
        <w:rPr>
          <w:rStyle w:val="FootnoteReference"/>
        </w:rPr>
        <w:footnoteRef/>
      </w:r>
      <w:r>
        <w:t xml:space="preserve"> </w:t>
      </w:r>
      <w:r w:rsidR="00F42C17">
        <w:t xml:space="preserve">Technical Assistance Collaborative, Inc. and Consortium for Citizens with Disabilities Housing Task Force. (2018). </w:t>
      </w:r>
      <w:r w:rsidR="00F42C17" w:rsidRPr="004E4405">
        <w:rPr>
          <w:i/>
        </w:rPr>
        <w:t>Priced Out: The Housing Crisis for People with Disabilities</w:t>
      </w:r>
      <w:r w:rsidR="00F42C17">
        <w:t xml:space="preserve">. </w:t>
      </w:r>
      <w:hyperlink r:id="rId1" w:history="1">
        <w:r w:rsidR="00F42C17" w:rsidRPr="00E80E4C">
          <w:rPr>
            <w:rStyle w:val="Hyperlink"/>
          </w:rPr>
          <w:t>http://www.tacinc.org/media/59493/priced-out-in-2016.pdf</w:t>
        </w:r>
      </w:hyperlink>
      <w:r w:rsidR="00F42C17">
        <w:t xml:space="preserve">. </w:t>
      </w:r>
    </w:p>
  </w:footnote>
  <w:footnote w:id="2">
    <w:p w14:paraId="3FA47525" w14:textId="122D19D8" w:rsidR="00F42C17" w:rsidRPr="00B07009" w:rsidRDefault="00F42C17">
      <w:pPr>
        <w:pStyle w:val="FootnoteText"/>
      </w:pPr>
      <w:r w:rsidRPr="00B07009">
        <w:rPr>
          <w:rStyle w:val="FootnoteReference"/>
        </w:rPr>
        <w:footnoteRef/>
      </w:r>
      <w:r w:rsidRPr="00B07009">
        <w:t xml:space="preserve"> </w:t>
      </w:r>
      <w:r w:rsidR="008E0542" w:rsidRPr="00B07009">
        <w:t>Center on Budget and Policy Priorities (2017). United States Fact Sheet: Federal Rental Assistance, 3/30/17. https://www.cbpp.org/sites/default/files/atoms/files/4-13-11hous-US.pdf</w:t>
      </w:r>
    </w:p>
  </w:footnote>
  <w:footnote w:id="3">
    <w:p w14:paraId="2D1AD6D6" w14:textId="536BA0AA" w:rsidR="004915BE" w:rsidRPr="00B07009" w:rsidRDefault="004915BE" w:rsidP="004915BE">
      <w:pPr>
        <w:pStyle w:val="FootnoteText"/>
      </w:pPr>
      <w:r w:rsidRPr="00B07009">
        <w:rPr>
          <w:rStyle w:val="FootnoteReference"/>
        </w:rPr>
        <w:footnoteRef/>
      </w:r>
      <w:r w:rsidRPr="00B07009">
        <w:t xml:space="preserve"> U.S. Department of Housing and Urban Development. (2017). </w:t>
      </w:r>
      <w:r w:rsidRPr="00B07009">
        <w:rPr>
          <w:i/>
        </w:rPr>
        <w:t>The 2017 Annual Homeless Assessment Report (AHAR) to Congress</w:t>
      </w:r>
      <w:r w:rsidRPr="00B07009">
        <w:t xml:space="preserve">. </w:t>
      </w:r>
      <w:hyperlink r:id="rId2" w:history="1">
        <w:r w:rsidRPr="00B07009">
          <w:rPr>
            <w:rStyle w:val="Hyperlink"/>
            <w:u w:val="none"/>
          </w:rPr>
          <w:t>https://www.hudexchange.info/resources/documents/2017-AHAR-Part-1.pdf</w:t>
        </w:r>
      </w:hyperlink>
      <w:r w:rsidRPr="00B07009">
        <w:t xml:space="preserve"> and </w:t>
      </w:r>
      <w:hyperlink r:id="rId3" w:history="1">
        <w:r w:rsidRPr="00B07009">
          <w:rPr>
            <w:rStyle w:val="Hyperlink"/>
            <w:u w:val="none"/>
          </w:rPr>
          <w:t>https://www.hudexchange.info/resource/reportmanagement/published/CoC_PopSub_NatlTerrDC_2017.pdf</w:t>
        </w:r>
      </w:hyperlink>
      <w:r w:rsidRPr="00B07009">
        <w:rPr>
          <w:u w:val="single"/>
        </w:rPr>
        <w:t>.</w:t>
      </w:r>
      <w:r w:rsidRPr="00B07009">
        <w:t xml:space="preserve"> </w:t>
      </w:r>
    </w:p>
  </w:footnote>
  <w:footnote w:id="4">
    <w:p w14:paraId="40A16205" w14:textId="001E0189" w:rsidR="004915BE" w:rsidRPr="00B07009" w:rsidRDefault="004915BE">
      <w:pPr>
        <w:pStyle w:val="FootnoteText"/>
      </w:pPr>
      <w:r w:rsidRPr="00B07009">
        <w:rPr>
          <w:rStyle w:val="FootnoteReference"/>
        </w:rPr>
        <w:footnoteRef/>
      </w:r>
      <w:r w:rsidRPr="00B07009">
        <w:t xml:space="preserve"> </w:t>
      </w:r>
      <w:r w:rsidR="008E0542" w:rsidRPr="00B07009">
        <w:t>Harris-Kojetin L. et al. (2013). Long-term care services in the United States: 2013 overview. National Center for Health Statistics. Vital Health Stat 3(37).</w:t>
      </w:r>
    </w:p>
  </w:footnote>
  <w:footnote w:id="5">
    <w:p w14:paraId="0C4DE5FC" w14:textId="26EB03A4" w:rsidR="0012317B" w:rsidRPr="00B07009" w:rsidRDefault="0012317B">
      <w:pPr>
        <w:pStyle w:val="FootnoteText"/>
      </w:pPr>
      <w:r w:rsidRPr="00B07009">
        <w:rPr>
          <w:rStyle w:val="FootnoteReference"/>
        </w:rPr>
        <w:footnoteRef/>
      </w:r>
      <w:r w:rsidRPr="00B07009">
        <w:t xml:space="preserve"> Braddock, D.L., Hemp, R.E., Tanis, E.S., Wu, J., &amp; Haffer, L. (2017). The State of the States in Intellectual and Developmental Disabilities: 2017. American Association on Intellectual and Developmental Disabilities, Washington, DC. </w:t>
      </w:r>
    </w:p>
  </w:footnote>
  <w:footnote w:id="6">
    <w:p w14:paraId="1D43F92B" w14:textId="3A2B0BDA" w:rsidR="0012317B" w:rsidRDefault="0012317B">
      <w:pPr>
        <w:pStyle w:val="FootnoteText"/>
      </w:pPr>
      <w:r w:rsidRPr="00B07009">
        <w:rPr>
          <w:rStyle w:val="FootnoteReference"/>
        </w:rPr>
        <w:footnoteRef/>
      </w:r>
      <w:r w:rsidRPr="00B07009">
        <w:t xml:space="preserve"> </w:t>
      </w:r>
      <w:r w:rsidR="008E0542" w:rsidRPr="00B07009">
        <w:t>Parks, J. &amp; Radke, A., eds. (2014). The vital role of state psychiatric hospitals. National Association of State Mental Health Program Directors, Alexandria, VA. https://www.nasmhpd.org/sites/default/files/The%20Vital%20Role%20of%20State%20Psychiatric%20HospitalsTechnical%20Report_July_2014.pdf.</w:t>
      </w:r>
    </w:p>
  </w:footnote>
  <w:footnote w:id="7">
    <w:p w14:paraId="2452AEC2" w14:textId="324FE6D1" w:rsidR="00C37B97" w:rsidRPr="00C37B97" w:rsidRDefault="00C37B97" w:rsidP="004E4405">
      <w:r w:rsidRPr="00C37B97">
        <w:rPr>
          <w:rStyle w:val="FootnoteReference"/>
          <w:sz w:val="20"/>
          <w:szCs w:val="20"/>
        </w:rPr>
        <w:footnoteRef/>
      </w:r>
      <w:r w:rsidRPr="00C37B97">
        <w:rPr>
          <w:sz w:val="20"/>
          <w:szCs w:val="20"/>
        </w:rPr>
        <w:t xml:space="preserve"> 12 C.F.R. 1291.5</w:t>
      </w:r>
      <w:r>
        <w:rPr>
          <w:sz w:val="20"/>
          <w:szCs w:val="20"/>
        </w:rPr>
        <w:t>,</w:t>
      </w:r>
      <w:r w:rsidRPr="00C37B97">
        <w:rPr>
          <w:sz w:val="20"/>
          <w:szCs w:val="20"/>
        </w:rPr>
        <w:t xml:space="preserve"> “</w:t>
      </w:r>
      <w:r w:rsidRPr="004E4405">
        <w:rPr>
          <w:rStyle w:val="highlight"/>
          <w:sz w:val="20"/>
          <w:szCs w:val="20"/>
        </w:rPr>
        <w:t>Special</w:t>
      </w:r>
      <w:r w:rsidRPr="004E4405">
        <w:rPr>
          <w:sz w:val="20"/>
          <w:szCs w:val="20"/>
        </w:rPr>
        <w:t xml:space="preserve"> needs. The financing of housing in which at least 20 percent of the units are reserved for occupancy by households with special needs, such as the elderly, mentally or physically disabled persons, persons recovering from physical abuse or alcohol or drug abuse, or persons with AIDS; or the financing of housing that is visitable by persons with physical disabilities who are not occupants of such housing;</w:t>
      </w:r>
      <w:r w:rsidRPr="00C37B97">
        <w:rPr>
          <w:sz w:val="20"/>
          <w:szCs w:val="20"/>
        </w:rPr>
        <w:t>”</w:t>
      </w:r>
      <w:r w:rsidRPr="004E4405">
        <w:rPr>
          <w:sz w:val="20"/>
          <w:szCs w:val="20"/>
        </w:rPr>
        <w:t xml:space="preserve"> </w:t>
      </w:r>
    </w:p>
  </w:footnote>
  <w:footnote w:id="8">
    <w:p w14:paraId="3976AE2A" w14:textId="4F6A102D" w:rsidR="00C37B97" w:rsidRPr="00C37B97" w:rsidRDefault="00C37B97" w:rsidP="004E4405">
      <w:r w:rsidRPr="00C37B97">
        <w:rPr>
          <w:rStyle w:val="FootnoteReference"/>
          <w:sz w:val="20"/>
          <w:szCs w:val="20"/>
        </w:rPr>
        <w:footnoteRef/>
      </w:r>
      <w:r w:rsidRPr="00C37B97">
        <w:rPr>
          <w:sz w:val="20"/>
          <w:szCs w:val="20"/>
        </w:rPr>
        <w:t xml:space="preserve"> “</w:t>
      </w:r>
      <w:r w:rsidRPr="004E4405">
        <w:rPr>
          <w:sz w:val="20"/>
          <w:szCs w:val="20"/>
        </w:rPr>
        <w:t xml:space="preserve">Housing for </w:t>
      </w:r>
      <w:r w:rsidRPr="004E4405">
        <w:rPr>
          <w:rStyle w:val="highlight"/>
          <w:sz w:val="20"/>
          <w:szCs w:val="20"/>
        </w:rPr>
        <w:t>special needs</w:t>
      </w:r>
      <w:r w:rsidRPr="004E4405">
        <w:rPr>
          <w:sz w:val="20"/>
          <w:szCs w:val="20"/>
        </w:rPr>
        <w:t xml:space="preserve"> populations. The financing of housing in which at least 50 percent of the units are reserved for, and provide supportive services or access to supportive services for, households with specific special needs, such as: The elderly; persons with disabilities; formerly incarcerated persons; persons recovering from physical abuse or alcohol or drug abuse; victims of domestic violence, dating violence, sexual assault or stalking; persons with HIV/AIDS; or unaccompanied youth; or the financing of housing that is visitable by persons with physical disabilities who are not occupants of such housing.</w:t>
      </w:r>
      <w:r w:rsidRPr="00C37B97">
        <w:rPr>
          <w:sz w:val="20"/>
          <w:szCs w:val="20"/>
        </w:rPr>
        <w:t>”</w:t>
      </w:r>
      <w:r w:rsidRPr="004E4405">
        <w:rPr>
          <w:sz w:val="20"/>
          <w:szCs w:val="20"/>
        </w:rPr>
        <w:t xml:space="preserve"> </w:t>
      </w:r>
    </w:p>
  </w:footnote>
  <w:footnote w:id="9">
    <w:p w14:paraId="7EE9BAC1" w14:textId="141E9F0A" w:rsidR="003952BB" w:rsidRDefault="003952BB">
      <w:pPr>
        <w:pStyle w:val="FootnoteText"/>
      </w:pPr>
      <w:r>
        <w:rPr>
          <w:rStyle w:val="FootnoteReference"/>
        </w:rPr>
        <w:footnoteRef/>
      </w:r>
      <w:r>
        <w:t xml:space="preserve"> Available at </w:t>
      </w:r>
      <w:hyperlink r:id="rId4" w:history="1">
        <w:r w:rsidRPr="00FC27BB">
          <w:rPr>
            <w:rStyle w:val="Hyperlink"/>
          </w:rPr>
          <w:t>https://www.hud.gov/sites/documents/OLMSTEADGUIDNC060413.PDF</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CA2F2" w14:textId="77777777" w:rsidR="00C34B6A" w:rsidRDefault="00C34B6A">
    <w:pPr>
      <w:pStyle w:val="Header"/>
      <w:jc w:val="center"/>
    </w:pPr>
    <w:r>
      <w:rPr>
        <w:noProof/>
      </w:rPr>
      <w:drawing>
        <wp:inline distT="0" distB="0" distL="0" distR="0" wp14:anchorId="53500D1B" wp14:editId="411396A1">
          <wp:extent cx="3171190" cy="1644015"/>
          <wp:effectExtent l="19050" t="0" r="0" b="0"/>
          <wp:docPr id="1" name="Picture 1" descr="Consortium for Citizens with Disabil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ortium for Citizens with Disabilities (Logo)"/>
                  <pic:cNvPicPr>
                    <a:picLocks noChangeAspect="1" noChangeArrowheads="1"/>
                  </pic:cNvPicPr>
                </pic:nvPicPr>
                <pic:blipFill>
                  <a:blip r:embed="rId1"/>
                  <a:srcRect/>
                  <a:stretch>
                    <a:fillRect/>
                  </a:stretch>
                </pic:blipFill>
                <pic:spPr bwMode="auto">
                  <a:xfrm>
                    <a:off x="0" y="0"/>
                    <a:ext cx="3171190" cy="16440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71B"/>
    <w:multiLevelType w:val="hybridMultilevel"/>
    <w:tmpl w:val="7BBA15F8"/>
    <w:numStyleLink w:val="ImportedStyle2"/>
  </w:abstractNum>
  <w:abstractNum w:abstractNumId="1">
    <w:nsid w:val="06226960"/>
    <w:multiLevelType w:val="hybridMultilevel"/>
    <w:tmpl w:val="97E26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451EB"/>
    <w:multiLevelType w:val="hybridMultilevel"/>
    <w:tmpl w:val="DD245AD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9A77B4F"/>
    <w:multiLevelType w:val="hybridMultilevel"/>
    <w:tmpl w:val="0360EDCA"/>
    <w:numStyleLink w:val="ImportedStyle1"/>
  </w:abstractNum>
  <w:abstractNum w:abstractNumId="4">
    <w:nsid w:val="0B9636F8"/>
    <w:multiLevelType w:val="hybridMultilevel"/>
    <w:tmpl w:val="20329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A4802"/>
    <w:multiLevelType w:val="hybridMultilevel"/>
    <w:tmpl w:val="5EFA35D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63F1225"/>
    <w:multiLevelType w:val="hybridMultilevel"/>
    <w:tmpl w:val="7F6A7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3A19C1"/>
    <w:multiLevelType w:val="hybridMultilevel"/>
    <w:tmpl w:val="8F204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824A5D"/>
    <w:multiLevelType w:val="hybridMultilevel"/>
    <w:tmpl w:val="6FFA5582"/>
    <w:lvl w:ilvl="0" w:tplc="AF66631A">
      <w:start w:val="1"/>
      <w:numFmt w:val="decimal"/>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654704"/>
    <w:multiLevelType w:val="hybridMultilevel"/>
    <w:tmpl w:val="831E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AB7D83"/>
    <w:multiLevelType w:val="hybridMultilevel"/>
    <w:tmpl w:val="DCF89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E266B0"/>
    <w:multiLevelType w:val="hybridMultilevel"/>
    <w:tmpl w:val="78B08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E348F3"/>
    <w:multiLevelType w:val="hybridMultilevel"/>
    <w:tmpl w:val="3B663902"/>
    <w:lvl w:ilvl="0" w:tplc="C55E5A9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ED0DAF"/>
    <w:multiLevelType w:val="hybridMultilevel"/>
    <w:tmpl w:val="2FF6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9C0557"/>
    <w:multiLevelType w:val="hybridMultilevel"/>
    <w:tmpl w:val="2BA0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C411A0"/>
    <w:multiLevelType w:val="hybridMultilevel"/>
    <w:tmpl w:val="AB44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E533FA"/>
    <w:multiLevelType w:val="hybridMultilevel"/>
    <w:tmpl w:val="7BBA15F8"/>
    <w:styleLink w:val="ImportedStyle2"/>
    <w:lvl w:ilvl="0" w:tplc="39749184">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5856A6">
      <w:start w:val="1"/>
      <w:numFmt w:val="bullet"/>
      <w:lvlText w:val="o"/>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A8DDF8">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F8B724">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DE801E">
      <w:start w:val="1"/>
      <w:numFmt w:val="bullet"/>
      <w:lvlText w:val="o"/>
      <w:lvlJc w:val="left"/>
      <w:pPr>
        <w:tabs>
          <w:tab w:val="left" w:pos="72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368986">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CF3EA">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D65A20">
      <w:start w:val="1"/>
      <w:numFmt w:val="bullet"/>
      <w:lvlText w:val="o"/>
      <w:lvlJc w:val="left"/>
      <w:pPr>
        <w:tabs>
          <w:tab w:val="left" w:pos="72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48ED76">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5AD36CD"/>
    <w:multiLevelType w:val="hybridMultilevel"/>
    <w:tmpl w:val="3684C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0D3645"/>
    <w:multiLevelType w:val="hybridMultilevel"/>
    <w:tmpl w:val="8426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E353A2"/>
    <w:multiLevelType w:val="hybridMultilevel"/>
    <w:tmpl w:val="77743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063DDA"/>
    <w:multiLevelType w:val="hybridMultilevel"/>
    <w:tmpl w:val="04AED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0F17E3"/>
    <w:multiLevelType w:val="hybridMultilevel"/>
    <w:tmpl w:val="3216D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270246"/>
    <w:multiLevelType w:val="hybridMultilevel"/>
    <w:tmpl w:val="D020FD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795A15"/>
    <w:multiLevelType w:val="hybridMultilevel"/>
    <w:tmpl w:val="8AC8BCE8"/>
    <w:lvl w:ilvl="0" w:tplc="8FE6010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3C79F2"/>
    <w:multiLevelType w:val="hybridMultilevel"/>
    <w:tmpl w:val="0A420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97533D"/>
    <w:multiLevelType w:val="hybridMultilevel"/>
    <w:tmpl w:val="0360EDCA"/>
    <w:styleLink w:val="ImportedStyle1"/>
    <w:lvl w:ilvl="0" w:tplc="DD129D6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E0F556">
      <w:start w:val="1"/>
      <w:numFmt w:val="bullet"/>
      <w:lvlText w:val="o"/>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A0C338">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D0B504">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4C3152">
      <w:start w:val="1"/>
      <w:numFmt w:val="bullet"/>
      <w:lvlText w:val="o"/>
      <w:lvlJc w:val="left"/>
      <w:pPr>
        <w:tabs>
          <w:tab w:val="left" w:pos="72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74FBF8">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E8B85E">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F4E1F2">
      <w:start w:val="1"/>
      <w:numFmt w:val="bullet"/>
      <w:lvlText w:val="o"/>
      <w:lvlJc w:val="left"/>
      <w:pPr>
        <w:tabs>
          <w:tab w:val="left" w:pos="72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A411D8">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7F50181"/>
    <w:multiLevelType w:val="hybridMultilevel"/>
    <w:tmpl w:val="E5D4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E62517"/>
    <w:multiLevelType w:val="hybridMultilevel"/>
    <w:tmpl w:val="505EB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510B42"/>
    <w:multiLevelType w:val="hybridMultilevel"/>
    <w:tmpl w:val="1D78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96335A"/>
    <w:multiLevelType w:val="hybridMultilevel"/>
    <w:tmpl w:val="A0EC1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BE106A"/>
    <w:multiLevelType w:val="hybridMultilevel"/>
    <w:tmpl w:val="D3145C26"/>
    <w:lvl w:ilvl="0" w:tplc="C55E5A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3A217A"/>
    <w:multiLevelType w:val="hybridMultilevel"/>
    <w:tmpl w:val="FD78A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7"/>
  </w:num>
  <w:num w:numId="5">
    <w:abstractNumId w:val="20"/>
  </w:num>
  <w:num w:numId="6">
    <w:abstractNumId w:val="24"/>
  </w:num>
  <w:num w:numId="7">
    <w:abstractNumId w:val="6"/>
  </w:num>
  <w:num w:numId="8">
    <w:abstractNumId w:val="31"/>
  </w:num>
  <w:num w:numId="9">
    <w:abstractNumId w:val="10"/>
  </w:num>
  <w:num w:numId="10">
    <w:abstractNumId w:val="1"/>
  </w:num>
  <w:num w:numId="11">
    <w:abstractNumId w:val="19"/>
  </w:num>
  <w:num w:numId="12">
    <w:abstractNumId w:val="21"/>
  </w:num>
  <w:num w:numId="13">
    <w:abstractNumId w:val="11"/>
  </w:num>
  <w:num w:numId="14">
    <w:abstractNumId w:val="7"/>
  </w:num>
  <w:num w:numId="15">
    <w:abstractNumId w:val="29"/>
  </w:num>
  <w:num w:numId="16">
    <w:abstractNumId w:val="4"/>
  </w:num>
  <w:num w:numId="17">
    <w:abstractNumId w:val="8"/>
  </w:num>
  <w:num w:numId="18">
    <w:abstractNumId w:val="23"/>
  </w:num>
  <w:num w:numId="19">
    <w:abstractNumId w:val="14"/>
  </w:num>
  <w:num w:numId="20">
    <w:abstractNumId w:val="18"/>
  </w:num>
  <w:num w:numId="21">
    <w:abstractNumId w:val="25"/>
  </w:num>
  <w:num w:numId="22">
    <w:abstractNumId w:val="3"/>
  </w:num>
  <w:num w:numId="23">
    <w:abstractNumId w:val="16"/>
  </w:num>
  <w:num w:numId="24">
    <w:abstractNumId w:val="0"/>
  </w:num>
  <w:num w:numId="25">
    <w:abstractNumId w:val="22"/>
  </w:num>
  <w:num w:numId="26">
    <w:abstractNumId w:val="15"/>
  </w:num>
  <w:num w:numId="27">
    <w:abstractNumId w:val="26"/>
  </w:num>
  <w:num w:numId="28">
    <w:abstractNumId w:val="13"/>
  </w:num>
  <w:num w:numId="29">
    <w:abstractNumId w:val="28"/>
  </w:num>
  <w:num w:numId="30">
    <w:abstractNumId w:val="12"/>
  </w:num>
  <w:num w:numId="31">
    <w:abstractNumId w:val="30"/>
  </w:num>
  <w:num w:numId="32">
    <w:abstractNumId w:val="1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85"/>
    <w:rsid w:val="00016393"/>
    <w:rsid w:val="00032DD0"/>
    <w:rsid w:val="00034934"/>
    <w:rsid w:val="0006750C"/>
    <w:rsid w:val="00077D19"/>
    <w:rsid w:val="00087661"/>
    <w:rsid w:val="00087F81"/>
    <w:rsid w:val="00097DF0"/>
    <w:rsid w:val="000C1160"/>
    <w:rsid w:val="000D1E08"/>
    <w:rsid w:val="000D4D74"/>
    <w:rsid w:val="00111B4E"/>
    <w:rsid w:val="001219EB"/>
    <w:rsid w:val="0012317B"/>
    <w:rsid w:val="00124F65"/>
    <w:rsid w:val="00146A42"/>
    <w:rsid w:val="00154B57"/>
    <w:rsid w:val="00186D40"/>
    <w:rsid w:val="001A03F7"/>
    <w:rsid w:val="001A1174"/>
    <w:rsid w:val="001A179E"/>
    <w:rsid w:val="001A61AA"/>
    <w:rsid w:val="001A6537"/>
    <w:rsid w:val="001E4457"/>
    <w:rsid w:val="001F64D2"/>
    <w:rsid w:val="001F745C"/>
    <w:rsid w:val="00222F84"/>
    <w:rsid w:val="00232018"/>
    <w:rsid w:val="00264238"/>
    <w:rsid w:val="002726C8"/>
    <w:rsid w:val="00280AC2"/>
    <w:rsid w:val="002860CB"/>
    <w:rsid w:val="00293E84"/>
    <w:rsid w:val="002C0FE7"/>
    <w:rsid w:val="002C7ACD"/>
    <w:rsid w:val="002E013C"/>
    <w:rsid w:val="002E50B7"/>
    <w:rsid w:val="002F05CB"/>
    <w:rsid w:val="003061F9"/>
    <w:rsid w:val="0030664F"/>
    <w:rsid w:val="003144E9"/>
    <w:rsid w:val="003300DC"/>
    <w:rsid w:val="00334E91"/>
    <w:rsid w:val="00337703"/>
    <w:rsid w:val="00340FF7"/>
    <w:rsid w:val="00342B49"/>
    <w:rsid w:val="00356890"/>
    <w:rsid w:val="00373463"/>
    <w:rsid w:val="00377884"/>
    <w:rsid w:val="003800CA"/>
    <w:rsid w:val="00383B13"/>
    <w:rsid w:val="00386A9C"/>
    <w:rsid w:val="00391144"/>
    <w:rsid w:val="00394B03"/>
    <w:rsid w:val="003952BB"/>
    <w:rsid w:val="003A1176"/>
    <w:rsid w:val="003A4CFB"/>
    <w:rsid w:val="003B58DD"/>
    <w:rsid w:val="003C4A8B"/>
    <w:rsid w:val="003C745D"/>
    <w:rsid w:val="003D3C3C"/>
    <w:rsid w:val="003D4E08"/>
    <w:rsid w:val="003E4AED"/>
    <w:rsid w:val="00406EAE"/>
    <w:rsid w:val="0041494F"/>
    <w:rsid w:val="0042474F"/>
    <w:rsid w:val="004915BE"/>
    <w:rsid w:val="00491C4C"/>
    <w:rsid w:val="004A06DD"/>
    <w:rsid w:val="004A1BE6"/>
    <w:rsid w:val="004B2F97"/>
    <w:rsid w:val="004C7E9D"/>
    <w:rsid w:val="004D7840"/>
    <w:rsid w:val="004E4405"/>
    <w:rsid w:val="004F118B"/>
    <w:rsid w:val="004F6AF6"/>
    <w:rsid w:val="00526E8B"/>
    <w:rsid w:val="005348F5"/>
    <w:rsid w:val="0054284D"/>
    <w:rsid w:val="00542D7A"/>
    <w:rsid w:val="00561090"/>
    <w:rsid w:val="0057188C"/>
    <w:rsid w:val="00571FAC"/>
    <w:rsid w:val="00584D6C"/>
    <w:rsid w:val="00586D49"/>
    <w:rsid w:val="00590353"/>
    <w:rsid w:val="005B04C0"/>
    <w:rsid w:val="005B1FC1"/>
    <w:rsid w:val="005C6DA0"/>
    <w:rsid w:val="005D67F5"/>
    <w:rsid w:val="005E7AA7"/>
    <w:rsid w:val="0060095E"/>
    <w:rsid w:val="00664F74"/>
    <w:rsid w:val="006A2BE6"/>
    <w:rsid w:val="006A6870"/>
    <w:rsid w:val="006C72F3"/>
    <w:rsid w:val="006D1329"/>
    <w:rsid w:val="006D4926"/>
    <w:rsid w:val="006F141C"/>
    <w:rsid w:val="00713631"/>
    <w:rsid w:val="00714B7F"/>
    <w:rsid w:val="00730885"/>
    <w:rsid w:val="00747E44"/>
    <w:rsid w:val="00770F90"/>
    <w:rsid w:val="00797A48"/>
    <w:rsid w:val="007B5E37"/>
    <w:rsid w:val="007B7816"/>
    <w:rsid w:val="007C4310"/>
    <w:rsid w:val="007E0019"/>
    <w:rsid w:val="007E251B"/>
    <w:rsid w:val="00806750"/>
    <w:rsid w:val="00815B5F"/>
    <w:rsid w:val="00815F45"/>
    <w:rsid w:val="0083508C"/>
    <w:rsid w:val="00843683"/>
    <w:rsid w:val="00845DF2"/>
    <w:rsid w:val="0086228B"/>
    <w:rsid w:val="00864B73"/>
    <w:rsid w:val="00871366"/>
    <w:rsid w:val="00884B5C"/>
    <w:rsid w:val="00893689"/>
    <w:rsid w:val="008A1B9E"/>
    <w:rsid w:val="008D1834"/>
    <w:rsid w:val="008D4886"/>
    <w:rsid w:val="008D6000"/>
    <w:rsid w:val="008E0542"/>
    <w:rsid w:val="008E7C6A"/>
    <w:rsid w:val="008F2B76"/>
    <w:rsid w:val="008F3D01"/>
    <w:rsid w:val="008F4FD5"/>
    <w:rsid w:val="008F765C"/>
    <w:rsid w:val="00932B1B"/>
    <w:rsid w:val="00956F1F"/>
    <w:rsid w:val="00974EC7"/>
    <w:rsid w:val="00976D55"/>
    <w:rsid w:val="0098450F"/>
    <w:rsid w:val="00994CA3"/>
    <w:rsid w:val="00996EF8"/>
    <w:rsid w:val="009B1292"/>
    <w:rsid w:val="009D6B4A"/>
    <w:rsid w:val="009D75CE"/>
    <w:rsid w:val="009D7E41"/>
    <w:rsid w:val="00A0632D"/>
    <w:rsid w:val="00A06EF3"/>
    <w:rsid w:val="00A1528C"/>
    <w:rsid w:val="00A212B7"/>
    <w:rsid w:val="00A21B11"/>
    <w:rsid w:val="00A250A4"/>
    <w:rsid w:val="00A57074"/>
    <w:rsid w:val="00A64731"/>
    <w:rsid w:val="00A64C4E"/>
    <w:rsid w:val="00A9154E"/>
    <w:rsid w:val="00A94DC1"/>
    <w:rsid w:val="00AA055C"/>
    <w:rsid w:val="00AA3964"/>
    <w:rsid w:val="00AB3BC1"/>
    <w:rsid w:val="00AD6161"/>
    <w:rsid w:val="00AD625A"/>
    <w:rsid w:val="00AD6F86"/>
    <w:rsid w:val="00AE62D6"/>
    <w:rsid w:val="00B00334"/>
    <w:rsid w:val="00B01403"/>
    <w:rsid w:val="00B038F9"/>
    <w:rsid w:val="00B03B46"/>
    <w:rsid w:val="00B067DC"/>
    <w:rsid w:val="00B07009"/>
    <w:rsid w:val="00B1572A"/>
    <w:rsid w:val="00B17A79"/>
    <w:rsid w:val="00B20653"/>
    <w:rsid w:val="00B27C86"/>
    <w:rsid w:val="00B34545"/>
    <w:rsid w:val="00B461EF"/>
    <w:rsid w:val="00B64615"/>
    <w:rsid w:val="00B7530F"/>
    <w:rsid w:val="00B77BDB"/>
    <w:rsid w:val="00B95AA0"/>
    <w:rsid w:val="00BA37C4"/>
    <w:rsid w:val="00BB6433"/>
    <w:rsid w:val="00BC03C7"/>
    <w:rsid w:val="00BC2416"/>
    <w:rsid w:val="00BE4CC1"/>
    <w:rsid w:val="00BF4EA6"/>
    <w:rsid w:val="00C25678"/>
    <w:rsid w:val="00C269FE"/>
    <w:rsid w:val="00C34B6A"/>
    <w:rsid w:val="00C358DF"/>
    <w:rsid w:val="00C37B97"/>
    <w:rsid w:val="00C42E7D"/>
    <w:rsid w:val="00C505AD"/>
    <w:rsid w:val="00C6478D"/>
    <w:rsid w:val="00C71D00"/>
    <w:rsid w:val="00C8655A"/>
    <w:rsid w:val="00C94291"/>
    <w:rsid w:val="00C9716B"/>
    <w:rsid w:val="00CA120C"/>
    <w:rsid w:val="00CA33F3"/>
    <w:rsid w:val="00CA7982"/>
    <w:rsid w:val="00CF3C0B"/>
    <w:rsid w:val="00CF5050"/>
    <w:rsid w:val="00D00FD7"/>
    <w:rsid w:val="00D11D07"/>
    <w:rsid w:val="00D170B2"/>
    <w:rsid w:val="00D1711F"/>
    <w:rsid w:val="00D23232"/>
    <w:rsid w:val="00D46B2B"/>
    <w:rsid w:val="00D505EA"/>
    <w:rsid w:val="00D5737E"/>
    <w:rsid w:val="00D74768"/>
    <w:rsid w:val="00D80971"/>
    <w:rsid w:val="00D8323E"/>
    <w:rsid w:val="00DB5671"/>
    <w:rsid w:val="00DC2B07"/>
    <w:rsid w:val="00DD785B"/>
    <w:rsid w:val="00DE5E8F"/>
    <w:rsid w:val="00DE7C5C"/>
    <w:rsid w:val="00E07933"/>
    <w:rsid w:val="00E10B14"/>
    <w:rsid w:val="00E114E0"/>
    <w:rsid w:val="00E17936"/>
    <w:rsid w:val="00E21F8C"/>
    <w:rsid w:val="00E255BC"/>
    <w:rsid w:val="00E269EF"/>
    <w:rsid w:val="00E4363D"/>
    <w:rsid w:val="00E6784F"/>
    <w:rsid w:val="00E75645"/>
    <w:rsid w:val="00E83511"/>
    <w:rsid w:val="00E87F45"/>
    <w:rsid w:val="00EA2060"/>
    <w:rsid w:val="00EA3B47"/>
    <w:rsid w:val="00EA46B8"/>
    <w:rsid w:val="00EB5262"/>
    <w:rsid w:val="00EB6C6F"/>
    <w:rsid w:val="00EC3745"/>
    <w:rsid w:val="00EC5BD8"/>
    <w:rsid w:val="00EF42FD"/>
    <w:rsid w:val="00F15EC5"/>
    <w:rsid w:val="00F22C2E"/>
    <w:rsid w:val="00F30913"/>
    <w:rsid w:val="00F429C2"/>
    <w:rsid w:val="00F42C17"/>
    <w:rsid w:val="00F6456F"/>
    <w:rsid w:val="00F87BA1"/>
    <w:rsid w:val="00F95FBC"/>
    <w:rsid w:val="00FA01A2"/>
    <w:rsid w:val="00FA0E81"/>
    <w:rsid w:val="00FD53BC"/>
    <w:rsid w:val="00FE5F52"/>
    <w:rsid w:val="00FF6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B40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050"/>
    <w:rPr>
      <w:sz w:val="24"/>
      <w:szCs w:val="24"/>
    </w:rPr>
  </w:style>
  <w:style w:type="paragraph" w:styleId="Heading1">
    <w:name w:val="heading 1"/>
    <w:basedOn w:val="Normal"/>
    <w:next w:val="Normal"/>
    <w:qFormat/>
    <w:rsid w:val="00B27C86"/>
    <w:pPr>
      <w:keepNext/>
      <w:outlineLvl w:val="0"/>
    </w:pPr>
    <w:rPr>
      <w:rFonts w:ascii="Freestyle Script" w:hAnsi="Freestyle Script"/>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2416"/>
    <w:pPr>
      <w:tabs>
        <w:tab w:val="center" w:pos="4320"/>
        <w:tab w:val="right" w:pos="8640"/>
      </w:tabs>
    </w:pPr>
  </w:style>
  <w:style w:type="paragraph" w:styleId="Footer">
    <w:name w:val="footer"/>
    <w:basedOn w:val="Normal"/>
    <w:rsid w:val="00BC2416"/>
    <w:pPr>
      <w:tabs>
        <w:tab w:val="center" w:pos="4320"/>
        <w:tab w:val="right" w:pos="8640"/>
      </w:tabs>
    </w:pPr>
  </w:style>
  <w:style w:type="character" w:styleId="Hyperlink">
    <w:name w:val="Hyperlink"/>
    <w:basedOn w:val="DefaultParagraphFont"/>
    <w:rsid w:val="0042474F"/>
    <w:rPr>
      <w:color w:val="000000"/>
      <w:u w:val="single"/>
    </w:rPr>
  </w:style>
  <w:style w:type="character" w:styleId="PageNumber">
    <w:name w:val="page number"/>
    <w:basedOn w:val="DefaultParagraphFont"/>
    <w:rsid w:val="001A6537"/>
  </w:style>
  <w:style w:type="paragraph" w:styleId="HTMLPreformatted">
    <w:name w:val="HTML Preformatted"/>
    <w:basedOn w:val="Normal"/>
    <w:rsid w:val="00CF5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link w:val="BalloonTextChar"/>
    <w:rsid w:val="003A1176"/>
    <w:rPr>
      <w:rFonts w:ascii="Tahoma" w:hAnsi="Tahoma" w:cs="Tahoma"/>
      <w:sz w:val="16"/>
      <w:szCs w:val="16"/>
    </w:rPr>
  </w:style>
  <w:style w:type="character" w:customStyle="1" w:styleId="BalloonTextChar">
    <w:name w:val="Balloon Text Char"/>
    <w:basedOn w:val="DefaultParagraphFont"/>
    <w:link w:val="BalloonText"/>
    <w:rsid w:val="003A1176"/>
    <w:rPr>
      <w:rFonts w:ascii="Tahoma" w:hAnsi="Tahoma" w:cs="Tahoma"/>
      <w:sz w:val="16"/>
      <w:szCs w:val="16"/>
    </w:rPr>
  </w:style>
  <w:style w:type="character" w:customStyle="1" w:styleId="apple-style-span">
    <w:name w:val="apple-style-span"/>
    <w:basedOn w:val="DefaultParagraphFont"/>
    <w:rsid w:val="003A1176"/>
  </w:style>
  <w:style w:type="character" w:customStyle="1" w:styleId="apple-converted-space">
    <w:name w:val="apple-converted-space"/>
    <w:basedOn w:val="DefaultParagraphFont"/>
    <w:rsid w:val="003A1176"/>
  </w:style>
  <w:style w:type="paragraph" w:styleId="BodyText">
    <w:name w:val="Body Text"/>
    <w:basedOn w:val="Normal"/>
    <w:link w:val="BodyTextChar"/>
    <w:rsid w:val="003A1176"/>
    <w:rPr>
      <w:szCs w:val="20"/>
    </w:rPr>
  </w:style>
  <w:style w:type="character" w:customStyle="1" w:styleId="BodyTextChar">
    <w:name w:val="Body Text Char"/>
    <w:basedOn w:val="DefaultParagraphFont"/>
    <w:link w:val="BodyText"/>
    <w:rsid w:val="003A1176"/>
    <w:rPr>
      <w:sz w:val="24"/>
    </w:rPr>
  </w:style>
  <w:style w:type="paragraph" w:styleId="FootnoteText">
    <w:name w:val="footnote text"/>
    <w:basedOn w:val="Normal"/>
    <w:link w:val="FootnoteTextChar"/>
    <w:unhideWhenUsed/>
    <w:rsid w:val="003A1176"/>
    <w:rPr>
      <w:sz w:val="20"/>
      <w:szCs w:val="20"/>
    </w:rPr>
  </w:style>
  <w:style w:type="character" w:customStyle="1" w:styleId="FootnoteTextChar">
    <w:name w:val="Footnote Text Char"/>
    <w:basedOn w:val="DefaultParagraphFont"/>
    <w:link w:val="FootnoteText"/>
    <w:uiPriority w:val="99"/>
    <w:rsid w:val="003A1176"/>
  </w:style>
  <w:style w:type="character" w:styleId="FootnoteReference">
    <w:name w:val="footnote reference"/>
    <w:basedOn w:val="DefaultParagraphFont"/>
    <w:uiPriority w:val="99"/>
    <w:unhideWhenUsed/>
    <w:rsid w:val="003A1176"/>
    <w:rPr>
      <w:vertAlign w:val="superscript"/>
    </w:rPr>
  </w:style>
  <w:style w:type="paragraph" w:styleId="EndnoteText">
    <w:name w:val="endnote text"/>
    <w:basedOn w:val="Normal"/>
    <w:link w:val="EndnoteTextChar"/>
    <w:uiPriority w:val="99"/>
    <w:rsid w:val="00342B49"/>
    <w:rPr>
      <w:sz w:val="20"/>
      <w:szCs w:val="20"/>
    </w:rPr>
  </w:style>
  <w:style w:type="character" w:customStyle="1" w:styleId="EndnoteTextChar">
    <w:name w:val="Endnote Text Char"/>
    <w:basedOn w:val="DefaultParagraphFont"/>
    <w:link w:val="EndnoteText"/>
    <w:uiPriority w:val="99"/>
    <w:rsid w:val="00342B49"/>
  </w:style>
  <w:style w:type="character" w:styleId="EndnoteReference">
    <w:name w:val="endnote reference"/>
    <w:basedOn w:val="DefaultParagraphFont"/>
    <w:uiPriority w:val="99"/>
    <w:rsid w:val="00342B49"/>
    <w:rPr>
      <w:vertAlign w:val="superscript"/>
    </w:rPr>
  </w:style>
  <w:style w:type="paragraph" w:styleId="NoSpacing">
    <w:name w:val="No Spacing"/>
    <w:qFormat/>
    <w:rsid w:val="00154B57"/>
    <w:rPr>
      <w:rFonts w:asciiTheme="minorHAnsi" w:eastAsiaTheme="minorHAnsi" w:hAnsiTheme="minorHAnsi" w:cstheme="minorBidi"/>
      <w:sz w:val="22"/>
      <w:szCs w:val="22"/>
    </w:rPr>
  </w:style>
  <w:style w:type="paragraph" w:styleId="ListParagraph">
    <w:name w:val="List Paragraph"/>
    <w:basedOn w:val="Normal"/>
    <w:uiPriority w:val="34"/>
    <w:qFormat/>
    <w:rsid w:val="006F141C"/>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893689"/>
    <w:pPr>
      <w:autoSpaceDE w:val="0"/>
      <w:autoSpaceDN w:val="0"/>
      <w:adjustRightInd w:val="0"/>
    </w:pPr>
    <w:rPr>
      <w:rFonts w:eastAsiaTheme="minorHAnsi"/>
      <w:color w:val="000000"/>
      <w:sz w:val="24"/>
      <w:szCs w:val="24"/>
    </w:rPr>
  </w:style>
  <w:style w:type="paragraph" w:styleId="NormalWeb">
    <w:name w:val="Normal (Web)"/>
    <w:basedOn w:val="Normal"/>
    <w:uiPriority w:val="99"/>
    <w:unhideWhenUsed/>
    <w:rsid w:val="00893689"/>
    <w:pPr>
      <w:spacing w:before="100" w:beforeAutospacing="1" w:after="100" w:afterAutospacing="1"/>
    </w:pPr>
  </w:style>
  <w:style w:type="character" w:customStyle="1" w:styleId="enumxml">
    <w:name w:val="enumxml"/>
    <w:basedOn w:val="DefaultParagraphFont"/>
    <w:rsid w:val="00893689"/>
  </w:style>
  <w:style w:type="character" w:customStyle="1" w:styleId="ptext-1">
    <w:name w:val="ptext-1"/>
    <w:basedOn w:val="DefaultParagraphFont"/>
    <w:rsid w:val="00893689"/>
  </w:style>
  <w:style w:type="character" w:styleId="CommentReference">
    <w:name w:val="annotation reference"/>
    <w:basedOn w:val="DefaultParagraphFont"/>
    <w:uiPriority w:val="99"/>
    <w:unhideWhenUsed/>
    <w:rsid w:val="00893689"/>
    <w:rPr>
      <w:sz w:val="16"/>
      <w:szCs w:val="16"/>
    </w:rPr>
  </w:style>
  <w:style w:type="paragraph" w:styleId="CommentText">
    <w:name w:val="annotation text"/>
    <w:basedOn w:val="Normal"/>
    <w:link w:val="CommentTextChar"/>
    <w:uiPriority w:val="99"/>
    <w:unhideWhenUsed/>
    <w:rsid w:val="00893689"/>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93689"/>
    <w:rPr>
      <w:rFonts w:asciiTheme="minorHAnsi" w:eastAsiaTheme="minorHAnsi" w:hAnsiTheme="minorHAnsi" w:cstheme="minorBidi"/>
    </w:rPr>
  </w:style>
  <w:style w:type="paragraph" w:styleId="CommentSubject">
    <w:name w:val="annotation subject"/>
    <w:basedOn w:val="CommentText"/>
    <w:next w:val="CommentText"/>
    <w:link w:val="CommentSubjectChar"/>
    <w:rsid w:val="0089368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893689"/>
    <w:rPr>
      <w:rFonts w:asciiTheme="minorHAnsi" w:eastAsiaTheme="minorHAnsi" w:hAnsiTheme="minorHAnsi" w:cstheme="minorBidi"/>
      <w:b/>
      <w:bCs/>
    </w:rPr>
  </w:style>
  <w:style w:type="numbering" w:customStyle="1" w:styleId="ImportedStyle1">
    <w:name w:val="Imported Style 1"/>
    <w:rsid w:val="0060095E"/>
    <w:pPr>
      <w:numPr>
        <w:numId w:val="21"/>
      </w:numPr>
    </w:pPr>
  </w:style>
  <w:style w:type="numbering" w:customStyle="1" w:styleId="ImportedStyle2">
    <w:name w:val="Imported Style 2"/>
    <w:rsid w:val="0060095E"/>
    <w:pPr>
      <w:numPr>
        <w:numId w:val="23"/>
      </w:numPr>
    </w:pPr>
  </w:style>
  <w:style w:type="paragraph" w:customStyle="1" w:styleId="Pa5">
    <w:name w:val="Pa5"/>
    <w:basedOn w:val="Normal"/>
    <w:next w:val="Normal"/>
    <w:uiPriority w:val="99"/>
    <w:rsid w:val="006C72F3"/>
    <w:pPr>
      <w:autoSpaceDE w:val="0"/>
      <w:autoSpaceDN w:val="0"/>
      <w:adjustRightInd w:val="0"/>
      <w:spacing w:line="221" w:lineRule="atLeast"/>
    </w:pPr>
    <w:rPr>
      <w:rFonts w:ascii="Effra" w:eastAsiaTheme="minorHAnsi" w:hAnsi="Effra" w:cstheme="minorBidi"/>
    </w:rPr>
  </w:style>
  <w:style w:type="character" w:customStyle="1" w:styleId="A10">
    <w:name w:val="A10"/>
    <w:uiPriority w:val="99"/>
    <w:rsid w:val="006C72F3"/>
    <w:rPr>
      <w:rFonts w:cs="Effra"/>
      <w:color w:val="000000"/>
      <w:sz w:val="12"/>
      <w:szCs w:val="12"/>
    </w:rPr>
  </w:style>
  <w:style w:type="character" w:customStyle="1" w:styleId="A6">
    <w:name w:val="A6"/>
    <w:uiPriority w:val="99"/>
    <w:rsid w:val="006C72F3"/>
    <w:rPr>
      <w:rFonts w:cs="Effra"/>
      <w:color w:val="000000"/>
      <w:sz w:val="22"/>
      <w:szCs w:val="22"/>
    </w:rPr>
  </w:style>
  <w:style w:type="character" w:customStyle="1" w:styleId="UnresolvedMention1">
    <w:name w:val="Unresolved Mention1"/>
    <w:basedOn w:val="DefaultParagraphFont"/>
    <w:uiPriority w:val="99"/>
    <w:semiHidden/>
    <w:unhideWhenUsed/>
    <w:rsid w:val="00F42C17"/>
    <w:rPr>
      <w:color w:val="808080"/>
      <w:shd w:val="clear" w:color="auto" w:fill="E6E6E6"/>
    </w:rPr>
  </w:style>
  <w:style w:type="character" w:customStyle="1" w:styleId="highlight">
    <w:name w:val="highlight"/>
    <w:basedOn w:val="DefaultParagraphFont"/>
    <w:rsid w:val="001F64D2"/>
  </w:style>
  <w:style w:type="paragraph" w:styleId="Revision">
    <w:name w:val="Revision"/>
    <w:hidden/>
    <w:uiPriority w:val="99"/>
    <w:semiHidden/>
    <w:rsid w:val="005C6DA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050"/>
    <w:rPr>
      <w:sz w:val="24"/>
      <w:szCs w:val="24"/>
    </w:rPr>
  </w:style>
  <w:style w:type="paragraph" w:styleId="Heading1">
    <w:name w:val="heading 1"/>
    <w:basedOn w:val="Normal"/>
    <w:next w:val="Normal"/>
    <w:qFormat/>
    <w:rsid w:val="00B27C86"/>
    <w:pPr>
      <w:keepNext/>
      <w:outlineLvl w:val="0"/>
    </w:pPr>
    <w:rPr>
      <w:rFonts w:ascii="Freestyle Script" w:hAnsi="Freestyle Script"/>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2416"/>
    <w:pPr>
      <w:tabs>
        <w:tab w:val="center" w:pos="4320"/>
        <w:tab w:val="right" w:pos="8640"/>
      </w:tabs>
    </w:pPr>
  </w:style>
  <w:style w:type="paragraph" w:styleId="Footer">
    <w:name w:val="footer"/>
    <w:basedOn w:val="Normal"/>
    <w:rsid w:val="00BC2416"/>
    <w:pPr>
      <w:tabs>
        <w:tab w:val="center" w:pos="4320"/>
        <w:tab w:val="right" w:pos="8640"/>
      </w:tabs>
    </w:pPr>
  </w:style>
  <w:style w:type="character" w:styleId="Hyperlink">
    <w:name w:val="Hyperlink"/>
    <w:basedOn w:val="DefaultParagraphFont"/>
    <w:rsid w:val="0042474F"/>
    <w:rPr>
      <w:color w:val="000000"/>
      <w:u w:val="single"/>
    </w:rPr>
  </w:style>
  <w:style w:type="character" w:styleId="PageNumber">
    <w:name w:val="page number"/>
    <w:basedOn w:val="DefaultParagraphFont"/>
    <w:rsid w:val="001A6537"/>
  </w:style>
  <w:style w:type="paragraph" w:styleId="HTMLPreformatted">
    <w:name w:val="HTML Preformatted"/>
    <w:basedOn w:val="Normal"/>
    <w:rsid w:val="00CF5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link w:val="BalloonTextChar"/>
    <w:rsid w:val="003A1176"/>
    <w:rPr>
      <w:rFonts w:ascii="Tahoma" w:hAnsi="Tahoma" w:cs="Tahoma"/>
      <w:sz w:val="16"/>
      <w:szCs w:val="16"/>
    </w:rPr>
  </w:style>
  <w:style w:type="character" w:customStyle="1" w:styleId="BalloonTextChar">
    <w:name w:val="Balloon Text Char"/>
    <w:basedOn w:val="DefaultParagraphFont"/>
    <w:link w:val="BalloonText"/>
    <w:rsid w:val="003A1176"/>
    <w:rPr>
      <w:rFonts w:ascii="Tahoma" w:hAnsi="Tahoma" w:cs="Tahoma"/>
      <w:sz w:val="16"/>
      <w:szCs w:val="16"/>
    </w:rPr>
  </w:style>
  <w:style w:type="character" w:customStyle="1" w:styleId="apple-style-span">
    <w:name w:val="apple-style-span"/>
    <w:basedOn w:val="DefaultParagraphFont"/>
    <w:rsid w:val="003A1176"/>
  </w:style>
  <w:style w:type="character" w:customStyle="1" w:styleId="apple-converted-space">
    <w:name w:val="apple-converted-space"/>
    <w:basedOn w:val="DefaultParagraphFont"/>
    <w:rsid w:val="003A1176"/>
  </w:style>
  <w:style w:type="paragraph" w:styleId="BodyText">
    <w:name w:val="Body Text"/>
    <w:basedOn w:val="Normal"/>
    <w:link w:val="BodyTextChar"/>
    <w:rsid w:val="003A1176"/>
    <w:rPr>
      <w:szCs w:val="20"/>
    </w:rPr>
  </w:style>
  <w:style w:type="character" w:customStyle="1" w:styleId="BodyTextChar">
    <w:name w:val="Body Text Char"/>
    <w:basedOn w:val="DefaultParagraphFont"/>
    <w:link w:val="BodyText"/>
    <w:rsid w:val="003A1176"/>
    <w:rPr>
      <w:sz w:val="24"/>
    </w:rPr>
  </w:style>
  <w:style w:type="paragraph" w:styleId="FootnoteText">
    <w:name w:val="footnote text"/>
    <w:basedOn w:val="Normal"/>
    <w:link w:val="FootnoteTextChar"/>
    <w:unhideWhenUsed/>
    <w:rsid w:val="003A1176"/>
    <w:rPr>
      <w:sz w:val="20"/>
      <w:szCs w:val="20"/>
    </w:rPr>
  </w:style>
  <w:style w:type="character" w:customStyle="1" w:styleId="FootnoteTextChar">
    <w:name w:val="Footnote Text Char"/>
    <w:basedOn w:val="DefaultParagraphFont"/>
    <w:link w:val="FootnoteText"/>
    <w:uiPriority w:val="99"/>
    <w:rsid w:val="003A1176"/>
  </w:style>
  <w:style w:type="character" w:styleId="FootnoteReference">
    <w:name w:val="footnote reference"/>
    <w:basedOn w:val="DefaultParagraphFont"/>
    <w:uiPriority w:val="99"/>
    <w:unhideWhenUsed/>
    <w:rsid w:val="003A1176"/>
    <w:rPr>
      <w:vertAlign w:val="superscript"/>
    </w:rPr>
  </w:style>
  <w:style w:type="paragraph" w:styleId="EndnoteText">
    <w:name w:val="endnote text"/>
    <w:basedOn w:val="Normal"/>
    <w:link w:val="EndnoteTextChar"/>
    <w:uiPriority w:val="99"/>
    <w:rsid w:val="00342B49"/>
    <w:rPr>
      <w:sz w:val="20"/>
      <w:szCs w:val="20"/>
    </w:rPr>
  </w:style>
  <w:style w:type="character" w:customStyle="1" w:styleId="EndnoteTextChar">
    <w:name w:val="Endnote Text Char"/>
    <w:basedOn w:val="DefaultParagraphFont"/>
    <w:link w:val="EndnoteText"/>
    <w:uiPriority w:val="99"/>
    <w:rsid w:val="00342B49"/>
  </w:style>
  <w:style w:type="character" w:styleId="EndnoteReference">
    <w:name w:val="endnote reference"/>
    <w:basedOn w:val="DefaultParagraphFont"/>
    <w:uiPriority w:val="99"/>
    <w:rsid w:val="00342B49"/>
    <w:rPr>
      <w:vertAlign w:val="superscript"/>
    </w:rPr>
  </w:style>
  <w:style w:type="paragraph" w:styleId="NoSpacing">
    <w:name w:val="No Spacing"/>
    <w:qFormat/>
    <w:rsid w:val="00154B57"/>
    <w:rPr>
      <w:rFonts w:asciiTheme="minorHAnsi" w:eastAsiaTheme="minorHAnsi" w:hAnsiTheme="minorHAnsi" w:cstheme="minorBidi"/>
      <w:sz w:val="22"/>
      <w:szCs w:val="22"/>
    </w:rPr>
  </w:style>
  <w:style w:type="paragraph" w:styleId="ListParagraph">
    <w:name w:val="List Paragraph"/>
    <w:basedOn w:val="Normal"/>
    <w:uiPriority w:val="34"/>
    <w:qFormat/>
    <w:rsid w:val="006F141C"/>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893689"/>
    <w:pPr>
      <w:autoSpaceDE w:val="0"/>
      <w:autoSpaceDN w:val="0"/>
      <w:adjustRightInd w:val="0"/>
    </w:pPr>
    <w:rPr>
      <w:rFonts w:eastAsiaTheme="minorHAnsi"/>
      <w:color w:val="000000"/>
      <w:sz w:val="24"/>
      <w:szCs w:val="24"/>
    </w:rPr>
  </w:style>
  <w:style w:type="paragraph" w:styleId="NormalWeb">
    <w:name w:val="Normal (Web)"/>
    <w:basedOn w:val="Normal"/>
    <w:uiPriority w:val="99"/>
    <w:unhideWhenUsed/>
    <w:rsid w:val="00893689"/>
    <w:pPr>
      <w:spacing w:before="100" w:beforeAutospacing="1" w:after="100" w:afterAutospacing="1"/>
    </w:pPr>
  </w:style>
  <w:style w:type="character" w:customStyle="1" w:styleId="enumxml">
    <w:name w:val="enumxml"/>
    <w:basedOn w:val="DefaultParagraphFont"/>
    <w:rsid w:val="00893689"/>
  </w:style>
  <w:style w:type="character" w:customStyle="1" w:styleId="ptext-1">
    <w:name w:val="ptext-1"/>
    <w:basedOn w:val="DefaultParagraphFont"/>
    <w:rsid w:val="00893689"/>
  </w:style>
  <w:style w:type="character" w:styleId="CommentReference">
    <w:name w:val="annotation reference"/>
    <w:basedOn w:val="DefaultParagraphFont"/>
    <w:uiPriority w:val="99"/>
    <w:unhideWhenUsed/>
    <w:rsid w:val="00893689"/>
    <w:rPr>
      <w:sz w:val="16"/>
      <w:szCs w:val="16"/>
    </w:rPr>
  </w:style>
  <w:style w:type="paragraph" w:styleId="CommentText">
    <w:name w:val="annotation text"/>
    <w:basedOn w:val="Normal"/>
    <w:link w:val="CommentTextChar"/>
    <w:uiPriority w:val="99"/>
    <w:unhideWhenUsed/>
    <w:rsid w:val="00893689"/>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93689"/>
    <w:rPr>
      <w:rFonts w:asciiTheme="minorHAnsi" w:eastAsiaTheme="minorHAnsi" w:hAnsiTheme="minorHAnsi" w:cstheme="minorBidi"/>
    </w:rPr>
  </w:style>
  <w:style w:type="paragraph" w:styleId="CommentSubject">
    <w:name w:val="annotation subject"/>
    <w:basedOn w:val="CommentText"/>
    <w:next w:val="CommentText"/>
    <w:link w:val="CommentSubjectChar"/>
    <w:rsid w:val="0089368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893689"/>
    <w:rPr>
      <w:rFonts w:asciiTheme="minorHAnsi" w:eastAsiaTheme="minorHAnsi" w:hAnsiTheme="minorHAnsi" w:cstheme="minorBidi"/>
      <w:b/>
      <w:bCs/>
    </w:rPr>
  </w:style>
  <w:style w:type="numbering" w:customStyle="1" w:styleId="ImportedStyle1">
    <w:name w:val="Imported Style 1"/>
    <w:rsid w:val="0060095E"/>
    <w:pPr>
      <w:numPr>
        <w:numId w:val="21"/>
      </w:numPr>
    </w:pPr>
  </w:style>
  <w:style w:type="numbering" w:customStyle="1" w:styleId="ImportedStyle2">
    <w:name w:val="Imported Style 2"/>
    <w:rsid w:val="0060095E"/>
    <w:pPr>
      <w:numPr>
        <w:numId w:val="23"/>
      </w:numPr>
    </w:pPr>
  </w:style>
  <w:style w:type="paragraph" w:customStyle="1" w:styleId="Pa5">
    <w:name w:val="Pa5"/>
    <w:basedOn w:val="Normal"/>
    <w:next w:val="Normal"/>
    <w:uiPriority w:val="99"/>
    <w:rsid w:val="006C72F3"/>
    <w:pPr>
      <w:autoSpaceDE w:val="0"/>
      <w:autoSpaceDN w:val="0"/>
      <w:adjustRightInd w:val="0"/>
      <w:spacing w:line="221" w:lineRule="atLeast"/>
    </w:pPr>
    <w:rPr>
      <w:rFonts w:ascii="Effra" w:eastAsiaTheme="minorHAnsi" w:hAnsi="Effra" w:cstheme="minorBidi"/>
    </w:rPr>
  </w:style>
  <w:style w:type="character" w:customStyle="1" w:styleId="A10">
    <w:name w:val="A10"/>
    <w:uiPriority w:val="99"/>
    <w:rsid w:val="006C72F3"/>
    <w:rPr>
      <w:rFonts w:cs="Effra"/>
      <w:color w:val="000000"/>
      <w:sz w:val="12"/>
      <w:szCs w:val="12"/>
    </w:rPr>
  </w:style>
  <w:style w:type="character" w:customStyle="1" w:styleId="A6">
    <w:name w:val="A6"/>
    <w:uiPriority w:val="99"/>
    <w:rsid w:val="006C72F3"/>
    <w:rPr>
      <w:rFonts w:cs="Effra"/>
      <w:color w:val="000000"/>
      <w:sz w:val="22"/>
      <w:szCs w:val="22"/>
    </w:rPr>
  </w:style>
  <w:style w:type="character" w:customStyle="1" w:styleId="UnresolvedMention1">
    <w:name w:val="Unresolved Mention1"/>
    <w:basedOn w:val="DefaultParagraphFont"/>
    <w:uiPriority w:val="99"/>
    <w:semiHidden/>
    <w:unhideWhenUsed/>
    <w:rsid w:val="00F42C17"/>
    <w:rPr>
      <w:color w:val="808080"/>
      <w:shd w:val="clear" w:color="auto" w:fill="E6E6E6"/>
    </w:rPr>
  </w:style>
  <w:style w:type="character" w:customStyle="1" w:styleId="highlight">
    <w:name w:val="highlight"/>
    <w:basedOn w:val="DefaultParagraphFont"/>
    <w:rsid w:val="001F64D2"/>
  </w:style>
  <w:style w:type="paragraph" w:styleId="Revision">
    <w:name w:val="Revision"/>
    <w:hidden/>
    <w:uiPriority w:val="99"/>
    <w:semiHidden/>
    <w:rsid w:val="005C6D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38843">
      <w:bodyDiv w:val="1"/>
      <w:marLeft w:val="0"/>
      <w:marRight w:val="0"/>
      <w:marTop w:val="0"/>
      <w:marBottom w:val="0"/>
      <w:divBdr>
        <w:top w:val="none" w:sz="0" w:space="0" w:color="auto"/>
        <w:left w:val="none" w:sz="0" w:space="0" w:color="auto"/>
        <w:bottom w:val="none" w:sz="0" w:space="0" w:color="auto"/>
        <w:right w:val="none" w:sz="0" w:space="0" w:color="auto"/>
      </w:divBdr>
      <w:divsChild>
        <w:div w:id="7028226">
          <w:marLeft w:val="0"/>
          <w:marRight w:val="0"/>
          <w:marTop w:val="0"/>
          <w:marBottom w:val="0"/>
          <w:divBdr>
            <w:top w:val="none" w:sz="0" w:space="0" w:color="auto"/>
            <w:left w:val="none" w:sz="0" w:space="0" w:color="auto"/>
            <w:bottom w:val="none" w:sz="0" w:space="0" w:color="auto"/>
            <w:right w:val="none" w:sz="0" w:space="0" w:color="auto"/>
          </w:divBdr>
        </w:div>
        <w:div w:id="2081051776">
          <w:marLeft w:val="0"/>
          <w:marRight w:val="0"/>
          <w:marTop w:val="0"/>
          <w:marBottom w:val="0"/>
          <w:divBdr>
            <w:top w:val="none" w:sz="0" w:space="0" w:color="auto"/>
            <w:left w:val="none" w:sz="0" w:space="0" w:color="auto"/>
            <w:bottom w:val="none" w:sz="0" w:space="0" w:color="auto"/>
            <w:right w:val="none" w:sz="0" w:space="0" w:color="auto"/>
          </w:divBdr>
        </w:div>
        <w:div w:id="1085762961">
          <w:marLeft w:val="0"/>
          <w:marRight w:val="0"/>
          <w:marTop w:val="0"/>
          <w:marBottom w:val="0"/>
          <w:divBdr>
            <w:top w:val="none" w:sz="0" w:space="0" w:color="auto"/>
            <w:left w:val="none" w:sz="0" w:space="0" w:color="auto"/>
            <w:bottom w:val="none" w:sz="0" w:space="0" w:color="auto"/>
            <w:right w:val="none" w:sz="0" w:space="0" w:color="auto"/>
          </w:divBdr>
        </w:div>
        <w:div w:id="1871918597">
          <w:marLeft w:val="0"/>
          <w:marRight w:val="0"/>
          <w:marTop w:val="0"/>
          <w:marBottom w:val="0"/>
          <w:divBdr>
            <w:top w:val="none" w:sz="0" w:space="0" w:color="auto"/>
            <w:left w:val="none" w:sz="0" w:space="0" w:color="auto"/>
            <w:bottom w:val="none" w:sz="0" w:space="0" w:color="auto"/>
            <w:right w:val="none" w:sz="0" w:space="0" w:color="auto"/>
          </w:divBdr>
        </w:div>
        <w:div w:id="148834210">
          <w:marLeft w:val="0"/>
          <w:marRight w:val="0"/>
          <w:marTop w:val="0"/>
          <w:marBottom w:val="0"/>
          <w:divBdr>
            <w:top w:val="none" w:sz="0" w:space="0" w:color="auto"/>
            <w:left w:val="none" w:sz="0" w:space="0" w:color="auto"/>
            <w:bottom w:val="none" w:sz="0" w:space="0" w:color="auto"/>
            <w:right w:val="none" w:sz="0" w:space="0" w:color="auto"/>
          </w:divBdr>
        </w:div>
        <w:div w:id="1382752340">
          <w:marLeft w:val="0"/>
          <w:marRight w:val="0"/>
          <w:marTop w:val="0"/>
          <w:marBottom w:val="0"/>
          <w:divBdr>
            <w:top w:val="none" w:sz="0" w:space="0" w:color="auto"/>
            <w:left w:val="none" w:sz="0" w:space="0" w:color="auto"/>
            <w:bottom w:val="none" w:sz="0" w:space="0" w:color="auto"/>
            <w:right w:val="none" w:sz="0" w:space="0" w:color="auto"/>
          </w:divBdr>
        </w:div>
        <w:div w:id="1106728573">
          <w:marLeft w:val="0"/>
          <w:marRight w:val="0"/>
          <w:marTop w:val="0"/>
          <w:marBottom w:val="0"/>
          <w:divBdr>
            <w:top w:val="none" w:sz="0" w:space="0" w:color="auto"/>
            <w:left w:val="none" w:sz="0" w:space="0" w:color="auto"/>
            <w:bottom w:val="none" w:sz="0" w:space="0" w:color="auto"/>
            <w:right w:val="none" w:sz="0" w:space="0" w:color="auto"/>
          </w:divBdr>
        </w:div>
        <w:div w:id="205918295">
          <w:marLeft w:val="0"/>
          <w:marRight w:val="0"/>
          <w:marTop w:val="0"/>
          <w:marBottom w:val="0"/>
          <w:divBdr>
            <w:top w:val="none" w:sz="0" w:space="0" w:color="auto"/>
            <w:left w:val="none" w:sz="0" w:space="0" w:color="auto"/>
            <w:bottom w:val="none" w:sz="0" w:space="0" w:color="auto"/>
            <w:right w:val="none" w:sz="0" w:space="0" w:color="auto"/>
          </w:divBdr>
        </w:div>
        <w:div w:id="1664704223">
          <w:marLeft w:val="0"/>
          <w:marRight w:val="0"/>
          <w:marTop w:val="0"/>
          <w:marBottom w:val="0"/>
          <w:divBdr>
            <w:top w:val="none" w:sz="0" w:space="0" w:color="auto"/>
            <w:left w:val="none" w:sz="0" w:space="0" w:color="auto"/>
            <w:bottom w:val="none" w:sz="0" w:space="0" w:color="auto"/>
            <w:right w:val="none" w:sz="0" w:space="0" w:color="auto"/>
          </w:divBdr>
        </w:div>
        <w:div w:id="742724807">
          <w:marLeft w:val="0"/>
          <w:marRight w:val="0"/>
          <w:marTop w:val="0"/>
          <w:marBottom w:val="0"/>
          <w:divBdr>
            <w:top w:val="none" w:sz="0" w:space="0" w:color="auto"/>
            <w:left w:val="none" w:sz="0" w:space="0" w:color="auto"/>
            <w:bottom w:val="none" w:sz="0" w:space="0" w:color="auto"/>
            <w:right w:val="none" w:sz="0" w:space="0" w:color="auto"/>
          </w:divBdr>
        </w:div>
        <w:div w:id="438960819">
          <w:marLeft w:val="0"/>
          <w:marRight w:val="0"/>
          <w:marTop w:val="0"/>
          <w:marBottom w:val="0"/>
          <w:divBdr>
            <w:top w:val="none" w:sz="0" w:space="0" w:color="auto"/>
            <w:left w:val="none" w:sz="0" w:space="0" w:color="auto"/>
            <w:bottom w:val="none" w:sz="0" w:space="0" w:color="auto"/>
            <w:right w:val="none" w:sz="0" w:space="0" w:color="auto"/>
          </w:divBdr>
        </w:div>
        <w:div w:id="358312891">
          <w:marLeft w:val="0"/>
          <w:marRight w:val="0"/>
          <w:marTop w:val="0"/>
          <w:marBottom w:val="0"/>
          <w:divBdr>
            <w:top w:val="none" w:sz="0" w:space="0" w:color="auto"/>
            <w:left w:val="none" w:sz="0" w:space="0" w:color="auto"/>
            <w:bottom w:val="none" w:sz="0" w:space="0" w:color="auto"/>
            <w:right w:val="none" w:sz="0" w:space="0" w:color="auto"/>
          </w:divBdr>
        </w:div>
      </w:divsChild>
    </w:div>
    <w:div w:id="361134231">
      <w:bodyDiv w:val="1"/>
      <w:marLeft w:val="0"/>
      <w:marRight w:val="0"/>
      <w:marTop w:val="0"/>
      <w:marBottom w:val="0"/>
      <w:divBdr>
        <w:top w:val="none" w:sz="0" w:space="0" w:color="auto"/>
        <w:left w:val="none" w:sz="0" w:space="0" w:color="auto"/>
        <w:bottom w:val="none" w:sz="0" w:space="0" w:color="auto"/>
        <w:right w:val="none" w:sz="0" w:space="0" w:color="auto"/>
      </w:divBdr>
      <w:divsChild>
        <w:div w:id="484665427">
          <w:marLeft w:val="0"/>
          <w:marRight w:val="0"/>
          <w:marTop w:val="0"/>
          <w:marBottom w:val="0"/>
          <w:divBdr>
            <w:top w:val="none" w:sz="0" w:space="0" w:color="auto"/>
            <w:left w:val="none" w:sz="0" w:space="0" w:color="auto"/>
            <w:bottom w:val="none" w:sz="0" w:space="0" w:color="auto"/>
            <w:right w:val="none" w:sz="0" w:space="0" w:color="auto"/>
          </w:divBdr>
        </w:div>
        <w:div w:id="1694648224">
          <w:marLeft w:val="0"/>
          <w:marRight w:val="0"/>
          <w:marTop w:val="0"/>
          <w:marBottom w:val="0"/>
          <w:divBdr>
            <w:top w:val="none" w:sz="0" w:space="0" w:color="auto"/>
            <w:left w:val="none" w:sz="0" w:space="0" w:color="auto"/>
            <w:bottom w:val="none" w:sz="0" w:space="0" w:color="auto"/>
            <w:right w:val="none" w:sz="0" w:space="0" w:color="auto"/>
          </w:divBdr>
        </w:div>
        <w:div w:id="1721972303">
          <w:marLeft w:val="0"/>
          <w:marRight w:val="0"/>
          <w:marTop w:val="0"/>
          <w:marBottom w:val="0"/>
          <w:divBdr>
            <w:top w:val="none" w:sz="0" w:space="0" w:color="auto"/>
            <w:left w:val="none" w:sz="0" w:space="0" w:color="auto"/>
            <w:bottom w:val="none" w:sz="0" w:space="0" w:color="auto"/>
            <w:right w:val="none" w:sz="0" w:space="0" w:color="auto"/>
          </w:divBdr>
        </w:div>
        <w:div w:id="183788863">
          <w:marLeft w:val="0"/>
          <w:marRight w:val="0"/>
          <w:marTop w:val="0"/>
          <w:marBottom w:val="0"/>
          <w:divBdr>
            <w:top w:val="none" w:sz="0" w:space="0" w:color="auto"/>
            <w:left w:val="none" w:sz="0" w:space="0" w:color="auto"/>
            <w:bottom w:val="none" w:sz="0" w:space="0" w:color="auto"/>
            <w:right w:val="none" w:sz="0" w:space="0" w:color="auto"/>
          </w:divBdr>
        </w:div>
        <w:div w:id="1231695775">
          <w:marLeft w:val="0"/>
          <w:marRight w:val="0"/>
          <w:marTop w:val="0"/>
          <w:marBottom w:val="0"/>
          <w:divBdr>
            <w:top w:val="none" w:sz="0" w:space="0" w:color="auto"/>
            <w:left w:val="none" w:sz="0" w:space="0" w:color="auto"/>
            <w:bottom w:val="none" w:sz="0" w:space="0" w:color="auto"/>
            <w:right w:val="none" w:sz="0" w:space="0" w:color="auto"/>
          </w:divBdr>
        </w:div>
        <w:div w:id="2021082304">
          <w:marLeft w:val="0"/>
          <w:marRight w:val="0"/>
          <w:marTop w:val="0"/>
          <w:marBottom w:val="0"/>
          <w:divBdr>
            <w:top w:val="none" w:sz="0" w:space="0" w:color="auto"/>
            <w:left w:val="none" w:sz="0" w:space="0" w:color="auto"/>
            <w:bottom w:val="none" w:sz="0" w:space="0" w:color="auto"/>
            <w:right w:val="none" w:sz="0" w:space="0" w:color="auto"/>
          </w:divBdr>
        </w:div>
        <w:div w:id="316228484">
          <w:marLeft w:val="0"/>
          <w:marRight w:val="0"/>
          <w:marTop w:val="0"/>
          <w:marBottom w:val="0"/>
          <w:divBdr>
            <w:top w:val="none" w:sz="0" w:space="0" w:color="auto"/>
            <w:left w:val="none" w:sz="0" w:space="0" w:color="auto"/>
            <w:bottom w:val="none" w:sz="0" w:space="0" w:color="auto"/>
            <w:right w:val="none" w:sz="0" w:space="0" w:color="auto"/>
          </w:divBdr>
        </w:div>
        <w:div w:id="945619633">
          <w:marLeft w:val="0"/>
          <w:marRight w:val="0"/>
          <w:marTop w:val="0"/>
          <w:marBottom w:val="0"/>
          <w:divBdr>
            <w:top w:val="none" w:sz="0" w:space="0" w:color="auto"/>
            <w:left w:val="none" w:sz="0" w:space="0" w:color="auto"/>
            <w:bottom w:val="none" w:sz="0" w:space="0" w:color="auto"/>
            <w:right w:val="none" w:sz="0" w:space="0" w:color="auto"/>
          </w:divBdr>
        </w:div>
        <w:div w:id="1112823449">
          <w:marLeft w:val="0"/>
          <w:marRight w:val="0"/>
          <w:marTop w:val="0"/>
          <w:marBottom w:val="0"/>
          <w:divBdr>
            <w:top w:val="none" w:sz="0" w:space="0" w:color="auto"/>
            <w:left w:val="none" w:sz="0" w:space="0" w:color="auto"/>
            <w:bottom w:val="none" w:sz="0" w:space="0" w:color="auto"/>
            <w:right w:val="none" w:sz="0" w:space="0" w:color="auto"/>
          </w:divBdr>
        </w:div>
        <w:div w:id="1444226984">
          <w:marLeft w:val="0"/>
          <w:marRight w:val="0"/>
          <w:marTop w:val="0"/>
          <w:marBottom w:val="0"/>
          <w:divBdr>
            <w:top w:val="none" w:sz="0" w:space="0" w:color="auto"/>
            <w:left w:val="none" w:sz="0" w:space="0" w:color="auto"/>
            <w:bottom w:val="none" w:sz="0" w:space="0" w:color="auto"/>
            <w:right w:val="none" w:sz="0" w:space="0" w:color="auto"/>
          </w:divBdr>
        </w:div>
        <w:div w:id="1823085166">
          <w:marLeft w:val="0"/>
          <w:marRight w:val="0"/>
          <w:marTop w:val="0"/>
          <w:marBottom w:val="0"/>
          <w:divBdr>
            <w:top w:val="none" w:sz="0" w:space="0" w:color="auto"/>
            <w:left w:val="none" w:sz="0" w:space="0" w:color="auto"/>
            <w:bottom w:val="none" w:sz="0" w:space="0" w:color="auto"/>
            <w:right w:val="none" w:sz="0" w:space="0" w:color="auto"/>
          </w:divBdr>
        </w:div>
        <w:div w:id="293755127">
          <w:marLeft w:val="0"/>
          <w:marRight w:val="0"/>
          <w:marTop w:val="0"/>
          <w:marBottom w:val="0"/>
          <w:divBdr>
            <w:top w:val="none" w:sz="0" w:space="0" w:color="auto"/>
            <w:left w:val="none" w:sz="0" w:space="0" w:color="auto"/>
            <w:bottom w:val="none" w:sz="0" w:space="0" w:color="auto"/>
            <w:right w:val="none" w:sz="0" w:space="0" w:color="auto"/>
          </w:divBdr>
        </w:div>
        <w:div w:id="293754476">
          <w:marLeft w:val="0"/>
          <w:marRight w:val="0"/>
          <w:marTop w:val="0"/>
          <w:marBottom w:val="0"/>
          <w:divBdr>
            <w:top w:val="none" w:sz="0" w:space="0" w:color="auto"/>
            <w:left w:val="none" w:sz="0" w:space="0" w:color="auto"/>
            <w:bottom w:val="none" w:sz="0" w:space="0" w:color="auto"/>
            <w:right w:val="none" w:sz="0" w:space="0" w:color="auto"/>
          </w:divBdr>
        </w:div>
      </w:divsChild>
    </w:div>
    <w:div w:id="425617621">
      <w:bodyDiv w:val="1"/>
      <w:marLeft w:val="0"/>
      <w:marRight w:val="0"/>
      <w:marTop w:val="0"/>
      <w:marBottom w:val="0"/>
      <w:divBdr>
        <w:top w:val="none" w:sz="0" w:space="0" w:color="auto"/>
        <w:left w:val="none" w:sz="0" w:space="0" w:color="auto"/>
        <w:bottom w:val="none" w:sz="0" w:space="0" w:color="auto"/>
        <w:right w:val="none" w:sz="0" w:space="0" w:color="auto"/>
      </w:divBdr>
    </w:div>
    <w:div w:id="848330284">
      <w:bodyDiv w:val="1"/>
      <w:marLeft w:val="0"/>
      <w:marRight w:val="0"/>
      <w:marTop w:val="0"/>
      <w:marBottom w:val="0"/>
      <w:divBdr>
        <w:top w:val="none" w:sz="0" w:space="0" w:color="auto"/>
        <w:left w:val="none" w:sz="0" w:space="0" w:color="auto"/>
        <w:bottom w:val="none" w:sz="0" w:space="0" w:color="auto"/>
        <w:right w:val="none" w:sz="0" w:space="0" w:color="auto"/>
      </w:divBdr>
    </w:div>
    <w:div w:id="1822428320">
      <w:bodyDiv w:val="1"/>
      <w:marLeft w:val="0"/>
      <w:marRight w:val="0"/>
      <w:marTop w:val="0"/>
      <w:marBottom w:val="0"/>
      <w:divBdr>
        <w:top w:val="none" w:sz="0" w:space="0" w:color="auto"/>
        <w:left w:val="none" w:sz="0" w:space="0" w:color="auto"/>
        <w:bottom w:val="none" w:sz="0" w:space="0" w:color="auto"/>
        <w:right w:val="none" w:sz="0" w:space="0" w:color="auto"/>
      </w:divBdr>
      <w:divsChild>
        <w:div w:id="229465081">
          <w:marLeft w:val="0"/>
          <w:marRight w:val="0"/>
          <w:marTop w:val="0"/>
          <w:marBottom w:val="0"/>
          <w:divBdr>
            <w:top w:val="none" w:sz="0" w:space="0" w:color="auto"/>
            <w:left w:val="none" w:sz="0" w:space="0" w:color="auto"/>
            <w:bottom w:val="none" w:sz="0" w:space="0" w:color="auto"/>
            <w:right w:val="none" w:sz="0" w:space="0" w:color="auto"/>
          </w:divBdr>
        </w:div>
        <w:div w:id="1963681750">
          <w:marLeft w:val="0"/>
          <w:marRight w:val="0"/>
          <w:marTop w:val="0"/>
          <w:marBottom w:val="0"/>
          <w:divBdr>
            <w:top w:val="none" w:sz="0" w:space="0" w:color="auto"/>
            <w:left w:val="none" w:sz="0" w:space="0" w:color="auto"/>
            <w:bottom w:val="none" w:sz="0" w:space="0" w:color="auto"/>
            <w:right w:val="none" w:sz="0" w:space="0" w:color="auto"/>
          </w:divBdr>
        </w:div>
        <w:div w:id="531189111">
          <w:marLeft w:val="0"/>
          <w:marRight w:val="0"/>
          <w:marTop w:val="0"/>
          <w:marBottom w:val="0"/>
          <w:divBdr>
            <w:top w:val="none" w:sz="0" w:space="0" w:color="auto"/>
            <w:left w:val="none" w:sz="0" w:space="0" w:color="auto"/>
            <w:bottom w:val="none" w:sz="0" w:space="0" w:color="auto"/>
            <w:right w:val="none" w:sz="0" w:space="0" w:color="auto"/>
          </w:divBdr>
        </w:div>
        <w:div w:id="2054378747">
          <w:marLeft w:val="0"/>
          <w:marRight w:val="0"/>
          <w:marTop w:val="0"/>
          <w:marBottom w:val="0"/>
          <w:divBdr>
            <w:top w:val="none" w:sz="0" w:space="0" w:color="auto"/>
            <w:left w:val="none" w:sz="0" w:space="0" w:color="auto"/>
            <w:bottom w:val="none" w:sz="0" w:space="0" w:color="auto"/>
            <w:right w:val="none" w:sz="0" w:space="0" w:color="auto"/>
          </w:divBdr>
        </w:div>
        <w:div w:id="931426859">
          <w:marLeft w:val="0"/>
          <w:marRight w:val="0"/>
          <w:marTop w:val="0"/>
          <w:marBottom w:val="0"/>
          <w:divBdr>
            <w:top w:val="none" w:sz="0" w:space="0" w:color="auto"/>
            <w:left w:val="none" w:sz="0" w:space="0" w:color="auto"/>
            <w:bottom w:val="none" w:sz="0" w:space="0" w:color="auto"/>
            <w:right w:val="none" w:sz="0" w:space="0" w:color="auto"/>
          </w:divBdr>
        </w:div>
        <w:div w:id="2124767156">
          <w:marLeft w:val="0"/>
          <w:marRight w:val="0"/>
          <w:marTop w:val="0"/>
          <w:marBottom w:val="0"/>
          <w:divBdr>
            <w:top w:val="none" w:sz="0" w:space="0" w:color="auto"/>
            <w:left w:val="none" w:sz="0" w:space="0" w:color="auto"/>
            <w:bottom w:val="none" w:sz="0" w:space="0" w:color="auto"/>
            <w:right w:val="none" w:sz="0" w:space="0" w:color="auto"/>
          </w:divBdr>
        </w:div>
        <w:div w:id="403114238">
          <w:marLeft w:val="0"/>
          <w:marRight w:val="0"/>
          <w:marTop w:val="0"/>
          <w:marBottom w:val="0"/>
          <w:divBdr>
            <w:top w:val="none" w:sz="0" w:space="0" w:color="auto"/>
            <w:left w:val="none" w:sz="0" w:space="0" w:color="auto"/>
            <w:bottom w:val="none" w:sz="0" w:space="0" w:color="auto"/>
            <w:right w:val="none" w:sz="0" w:space="0" w:color="auto"/>
          </w:divBdr>
        </w:div>
        <w:div w:id="1893148480">
          <w:marLeft w:val="0"/>
          <w:marRight w:val="0"/>
          <w:marTop w:val="0"/>
          <w:marBottom w:val="0"/>
          <w:divBdr>
            <w:top w:val="none" w:sz="0" w:space="0" w:color="auto"/>
            <w:left w:val="none" w:sz="0" w:space="0" w:color="auto"/>
            <w:bottom w:val="none" w:sz="0" w:space="0" w:color="auto"/>
            <w:right w:val="none" w:sz="0" w:space="0" w:color="auto"/>
          </w:divBdr>
        </w:div>
        <w:div w:id="1613972105">
          <w:marLeft w:val="0"/>
          <w:marRight w:val="0"/>
          <w:marTop w:val="0"/>
          <w:marBottom w:val="0"/>
          <w:divBdr>
            <w:top w:val="none" w:sz="0" w:space="0" w:color="auto"/>
            <w:left w:val="none" w:sz="0" w:space="0" w:color="auto"/>
            <w:bottom w:val="none" w:sz="0" w:space="0" w:color="auto"/>
            <w:right w:val="none" w:sz="0" w:space="0" w:color="auto"/>
          </w:divBdr>
        </w:div>
        <w:div w:id="388000361">
          <w:marLeft w:val="0"/>
          <w:marRight w:val="0"/>
          <w:marTop w:val="0"/>
          <w:marBottom w:val="0"/>
          <w:divBdr>
            <w:top w:val="none" w:sz="0" w:space="0" w:color="auto"/>
            <w:left w:val="none" w:sz="0" w:space="0" w:color="auto"/>
            <w:bottom w:val="none" w:sz="0" w:space="0" w:color="auto"/>
            <w:right w:val="none" w:sz="0" w:space="0" w:color="auto"/>
          </w:divBdr>
        </w:div>
        <w:div w:id="1838374313">
          <w:marLeft w:val="0"/>
          <w:marRight w:val="0"/>
          <w:marTop w:val="0"/>
          <w:marBottom w:val="0"/>
          <w:divBdr>
            <w:top w:val="none" w:sz="0" w:space="0" w:color="auto"/>
            <w:left w:val="none" w:sz="0" w:space="0" w:color="auto"/>
            <w:bottom w:val="none" w:sz="0" w:space="0" w:color="auto"/>
            <w:right w:val="none" w:sz="0" w:space="0" w:color="auto"/>
          </w:divBdr>
        </w:div>
        <w:div w:id="1288195071">
          <w:marLeft w:val="0"/>
          <w:marRight w:val="0"/>
          <w:marTop w:val="0"/>
          <w:marBottom w:val="0"/>
          <w:divBdr>
            <w:top w:val="none" w:sz="0" w:space="0" w:color="auto"/>
            <w:left w:val="none" w:sz="0" w:space="0" w:color="auto"/>
            <w:bottom w:val="none" w:sz="0" w:space="0" w:color="auto"/>
            <w:right w:val="none" w:sz="0" w:space="0" w:color="auto"/>
          </w:divBdr>
        </w:div>
        <w:div w:id="571962059">
          <w:marLeft w:val="0"/>
          <w:marRight w:val="0"/>
          <w:marTop w:val="0"/>
          <w:marBottom w:val="0"/>
          <w:divBdr>
            <w:top w:val="none" w:sz="0" w:space="0" w:color="auto"/>
            <w:left w:val="none" w:sz="0" w:space="0" w:color="auto"/>
            <w:bottom w:val="none" w:sz="0" w:space="0" w:color="auto"/>
            <w:right w:val="none" w:sz="0" w:space="0" w:color="auto"/>
          </w:divBdr>
        </w:div>
        <w:div w:id="1919049827">
          <w:marLeft w:val="0"/>
          <w:marRight w:val="0"/>
          <w:marTop w:val="0"/>
          <w:marBottom w:val="0"/>
          <w:divBdr>
            <w:top w:val="none" w:sz="0" w:space="0" w:color="auto"/>
            <w:left w:val="none" w:sz="0" w:space="0" w:color="auto"/>
            <w:bottom w:val="none" w:sz="0" w:space="0" w:color="auto"/>
            <w:right w:val="none" w:sz="0" w:space="0" w:color="auto"/>
          </w:divBdr>
        </w:div>
        <w:div w:id="1289315438">
          <w:marLeft w:val="0"/>
          <w:marRight w:val="0"/>
          <w:marTop w:val="0"/>
          <w:marBottom w:val="0"/>
          <w:divBdr>
            <w:top w:val="none" w:sz="0" w:space="0" w:color="auto"/>
            <w:left w:val="none" w:sz="0" w:space="0" w:color="auto"/>
            <w:bottom w:val="none" w:sz="0" w:space="0" w:color="auto"/>
            <w:right w:val="none" w:sz="0" w:space="0" w:color="auto"/>
          </w:divBdr>
        </w:div>
        <w:div w:id="2069186322">
          <w:marLeft w:val="0"/>
          <w:marRight w:val="0"/>
          <w:marTop w:val="0"/>
          <w:marBottom w:val="0"/>
          <w:divBdr>
            <w:top w:val="none" w:sz="0" w:space="0" w:color="auto"/>
            <w:left w:val="none" w:sz="0" w:space="0" w:color="auto"/>
            <w:bottom w:val="none" w:sz="0" w:space="0" w:color="auto"/>
            <w:right w:val="none" w:sz="0" w:space="0" w:color="auto"/>
          </w:divBdr>
        </w:div>
        <w:div w:id="585457759">
          <w:marLeft w:val="0"/>
          <w:marRight w:val="0"/>
          <w:marTop w:val="0"/>
          <w:marBottom w:val="0"/>
          <w:divBdr>
            <w:top w:val="none" w:sz="0" w:space="0" w:color="auto"/>
            <w:left w:val="none" w:sz="0" w:space="0" w:color="auto"/>
            <w:bottom w:val="none" w:sz="0" w:space="0" w:color="auto"/>
            <w:right w:val="none" w:sz="0" w:space="0" w:color="auto"/>
          </w:divBdr>
        </w:div>
        <w:div w:id="778796799">
          <w:marLeft w:val="0"/>
          <w:marRight w:val="0"/>
          <w:marTop w:val="0"/>
          <w:marBottom w:val="0"/>
          <w:divBdr>
            <w:top w:val="none" w:sz="0" w:space="0" w:color="auto"/>
            <w:left w:val="none" w:sz="0" w:space="0" w:color="auto"/>
            <w:bottom w:val="none" w:sz="0" w:space="0" w:color="auto"/>
            <w:right w:val="none" w:sz="0" w:space="0" w:color="auto"/>
          </w:divBdr>
        </w:div>
        <w:div w:id="879974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endnotes" Target="endnotes.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1.xml"/><Relationship Id="rId7" Type="http://schemas.openxmlformats.org/officeDocument/2006/relationships/footnotes" Target="foot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oter" Target="footer1.xml"/><Relationship Id="rId1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hfa.gov/open-for-comment-or-inpu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udexchange.info/resource/reportmanagement/published/CoC_PopSub_NatlTerrDC_2017.pdf" TargetMode="External"/><Relationship Id="rId4" Type="http://schemas.openxmlformats.org/officeDocument/2006/relationships/hyperlink" Target="https://www.hud.gov/sites/documents/OLMSTEADGUIDNC060413.PDF" TargetMode="External"/><Relationship Id="rId1" Type="http://schemas.openxmlformats.org/officeDocument/2006/relationships/hyperlink" Target="http://www.tacinc.org/media/59493/priced-out-in-2016.pdf" TargetMode="External"/><Relationship Id="rId2" Type="http://schemas.openxmlformats.org/officeDocument/2006/relationships/hyperlink" Target="https://www.hudexchange.info/resources/documents/2017-AHAR-Part-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CBC935-62BA-FE47-A95D-B521F88FC88F}">
  <ds:schemaRefs>
    <ds:schemaRef ds:uri="http://schemas.openxmlformats.org/officeDocument/2006/bibliography"/>
  </ds:schemaRefs>
</ds:datastoreItem>
</file>

<file path=customXml/itemProps2.xml><?xml version="1.0" encoding="utf-8"?>
<ds:datastoreItem xmlns:ds="http://schemas.openxmlformats.org/officeDocument/2006/customXml" ds:itemID="{5EAB63B7-2104-4A4B-A3A7-2A748E7906BD}"/>
</file>

<file path=customXml/itemProps3.xml><?xml version="1.0" encoding="utf-8"?>
<ds:datastoreItem xmlns:ds="http://schemas.openxmlformats.org/officeDocument/2006/customXml" ds:itemID="{5F7EABC1-AEF0-452F-B733-DE0C845E9495}"/>
</file>

<file path=customXml/itemProps4.xml><?xml version="1.0" encoding="utf-8"?>
<ds:datastoreItem xmlns:ds="http://schemas.openxmlformats.org/officeDocument/2006/customXml" ds:itemID="{286BD375-E93B-4442-A62C-12B6F047DED6}"/>
</file>

<file path=docProps/app.xml><?xml version="1.0" encoding="utf-8"?>
<Properties xmlns="http://schemas.openxmlformats.org/officeDocument/2006/extended-properties" xmlns:vt="http://schemas.openxmlformats.org/officeDocument/2006/docPropsVTypes">
  <Template>Normal.dotm</Template>
  <TotalTime>1</TotalTime>
  <Pages>6</Pages>
  <Words>2049</Words>
  <Characters>11683</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Arc</Company>
  <LinksUpToDate>false</LinksUpToDate>
  <CharactersWithSpaces>13705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Walker</dc:creator>
  <cp:lastModifiedBy>TJ Sutcliffe</cp:lastModifiedBy>
  <cp:revision>3</cp:revision>
  <cp:lastPrinted>2014-07-02T13:21:00Z</cp:lastPrinted>
  <dcterms:created xsi:type="dcterms:W3CDTF">2018-06-12T20:59:00Z</dcterms:created>
  <dcterms:modified xsi:type="dcterms:W3CDTF">2018-06-12T20:59:00Z</dcterms:modified>
</cp:coreProperties>
</file>