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13" w:rsidRPr="008D0812" w:rsidRDefault="00AC25AB" w:rsidP="00AC25AB">
      <w:pPr>
        <w:rPr>
          <w:rFonts w:eastAsia="Times New Roman"/>
          <w:sz w:val="22"/>
          <w:szCs w:val="22"/>
        </w:rPr>
      </w:pPr>
      <w:r w:rsidRPr="00A5642C">
        <w:rPr>
          <w:b/>
          <w:noProof/>
          <w:sz w:val="22"/>
          <w:szCs w:val="22"/>
        </w:rPr>
        <w:drawing>
          <wp:anchor distT="0" distB="0" distL="114300" distR="114300" simplePos="0" relativeHeight="251659264" behindDoc="1" locked="0" layoutInCell="1" allowOverlap="1" wp14:anchorId="0C5039F3" wp14:editId="7CCBDAFE">
            <wp:simplePos x="0" y="0"/>
            <wp:positionH relativeFrom="column">
              <wp:posOffset>3076700</wp:posOffset>
            </wp:positionH>
            <wp:positionV relativeFrom="paragraph">
              <wp:posOffset>36576</wp:posOffset>
            </wp:positionV>
            <wp:extent cx="2901696" cy="1085088"/>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001" cy="1085576"/>
                    </a:xfrm>
                    <a:prstGeom prst="rect">
                      <a:avLst/>
                    </a:prstGeom>
                    <a:noFill/>
                  </pic:spPr>
                </pic:pic>
              </a:graphicData>
            </a:graphic>
            <wp14:sizeRelH relativeFrom="page">
              <wp14:pctWidth>0</wp14:pctWidth>
            </wp14:sizeRelH>
            <wp14:sizeRelV relativeFrom="page">
              <wp14:pctHeight>0</wp14:pctHeight>
            </wp14:sizeRelV>
          </wp:anchor>
        </w:drawing>
      </w:r>
      <w:r w:rsidR="006E4602" w:rsidRPr="008D0812">
        <w:rPr>
          <w:rFonts w:eastAsia="Times New Roman"/>
          <w:sz w:val="22"/>
          <w:szCs w:val="22"/>
        </w:rPr>
        <w:t>January 12, 2015</w:t>
      </w:r>
    </w:p>
    <w:p w:rsidR="003E6F13" w:rsidRPr="008D0812" w:rsidRDefault="003E6F13" w:rsidP="00F80C4D">
      <w:pPr>
        <w:rPr>
          <w:rFonts w:eastAsia="Times New Roman"/>
          <w:sz w:val="22"/>
          <w:szCs w:val="22"/>
        </w:rPr>
      </w:pPr>
    </w:p>
    <w:p w:rsidR="006E4602" w:rsidRPr="008D0812" w:rsidRDefault="006E4602" w:rsidP="006E4602">
      <w:pPr>
        <w:rPr>
          <w:sz w:val="22"/>
          <w:szCs w:val="22"/>
        </w:rPr>
      </w:pPr>
      <w:r w:rsidRPr="008D0812">
        <w:rPr>
          <w:sz w:val="22"/>
          <w:szCs w:val="22"/>
        </w:rPr>
        <w:t>Robert M. Teachworth</w:t>
      </w:r>
    </w:p>
    <w:p w:rsidR="006E4602" w:rsidRPr="008D0812" w:rsidRDefault="006E4602" w:rsidP="006E4602">
      <w:pPr>
        <w:rPr>
          <w:sz w:val="22"/>
          <w:szCs w:val="22"/>
        </w:rPr>
      </w:pPr>
      <w:proofErr w:type="gramStart"/>
      <w:r w:rsidRPr="008D0812">
        <w:rPr>
          <w:sz w:val="22"/>
          <w:szCs w:val="22"/>
        </w:rPr>
        <w:t>President &amp;</w:t>
      </w:r>
      <w:proofErr w:type="gramEnd"/>
      <w:r w:rsidRPr="008D0812">
        <w:rPr>
          <w:sz w:val="22"/>
          <w:szCs w:val="22"/>
        </w:rPr>
        <w:t xml:space="preserve"> CEO</w:t>
      </w:r>
    </w:p>
    <w:p w:rsidR="003E6F13" w:rsidRPr="008D0812" w:rsidRDefault="006E4602" w:rsidP="00F80C4D">
      <w:pPr>
        <w:rPr>
          <w:sz w:val="22"/>
          <w:szCs w:val="22"/>
        </w:rPr>
      </w:pPr>
      <w:r w:rsidRPr="008D0812">
        <w:rPr>
          <w:sz w:val="22"/>
          <w:szCs w:val="22"/>
        </w:rPr>
        <w:t>Denali Alaskan Federal Credit Union</w:t>
      </w:r>
    </w:p>
    <w:p w:rsidR="003E6F13" w:rsidRPr="008D0812" w:rsidRDefault="006E4602" w:rsidP="00F80C4D">
      <w:pPr>
        <w:rPr>
          <w:rFonts w:eastAsia="Times New Roman"/>
          <w:sz w:val="22"/>
          <w:szCs w:val="22"/>
        </w:rPr>
      </w:pPr>
      <w:r w:rsidRPr="008D0812">
        <w:rPr>
          <w:rFonts w:eastAsia="Times New Roman"/>
          <w:sz w:val="22"/>
          <w:szCs w:val="22"/>
        </w:rPr>
        <w:t>440 East 36</w:t>
      </w:r>
      <w:r w:rsidRPr="008D0812">
        <w:rPr>
          <w:rFonts w:eastAsia="Times New Roman"/>
          <w:sz w:val="22"/>
          <w:szCs w:val="22"/>
          <w:vertAlign w:val="superscript"/>
        </w:rPr>
        <w:t>th</w:t>
      </w:r>
      <w:r w:rsidRPr="008D0812">
        <w:rPr>
          <w:rFonts w:eastAsia="Times New Roman"/>
          <w:sz w:val="22"/>
          <w:szCs w:val="22"/>
        </w:rPr>
        <w:t xml:space="preserve"> Avenue, 4</w:t>
      </w:r>
      <w:r w:rsidRPr="008D0812">
        <w:rPr>
          <w:rFonts w:eastAsia="Times New Roman"/>
          <w:sz w:val="22"/>
          <w:szCs w:val="22"/>
          <w:vertAlign w:val="superscript"/>
        </w:rPr>
        <w:t>th</w:t>
      </w:r>
      <w:r w:rsidRPr="008D0812">
        <w:rPr>
          <w:rFonts w:eastAsia="Times New Roman"/>
          <w:sz w:val="22"/>
          <w:szCs w:val="22"/>
        </w:rPr>
        <w:t xml:space="preserve"> Floor</w:t>
      </w:r>
    </w:p>
    <w:p w:rsidR="003E6F13" w:rsidRPr="008D0812" w:rsidRDefault="006E4602" w:rsidP="00F80C4D">
      <w:pPr>
        <w:rPr>
          <w:rFonts w:eastAsia="Times New Roman"/>
          <w:sz w:val="22"/>
          <w:szCs w:val="22"/>
        </w:rPr>
      </w:pPr>
      <w:r w:rsidRPr="008D0812">
        <w:rPr>
          <w:rFonts w:eastAsia="Times New Roman"/>
          <w:sz w:val="22"/>
          <w:szCs w:val="22"/>
        </w:rPr>
        <w:t>Anchorage, AK 99517</w:t>
      </w:r>
    </w:p>
    <w:p w:rsidR="003E6F13" w:rsidRPr="008D0812" w:rsidRDefault="003E6F13" w:rsidP="00F80C4D">
      <w:pPr>
        <w:rPr>
          <w:rFonts w:eastAsia="Times New Roman"/>
          <w:sz w:val="22"/>
          <w:szCs w:val="22"/>
        </w:rPr>
      </w:pPr>
    </w:p>
    <w:p w:rsidR="003E6F13" w:rsidRPr="008D0812" w:rsidRDefault="003E6F13" w:rsidP="003E6F13">
      <w:pPr>
        <w:rPr>
          <w:rFonts w:eastAsia="Times New Roman"/>
          <w:sz w:val="22"/>
          <w:szCs w:val="22"/>
        </w:rPr>
      </w:pPr>
      <w:r w:rsidRPr="008D0812">
        <w:rPr>
          <w:rFonts w:eastAsia="Times New Roman"/>
          <w:sz w:val="22"/>
          <w:szCs w:val="22"/>
        </w:rPr>
        <w:t xml:space="preserve">Eric M. </w:t>
      </w:r>
      <w:proofErr w:type="spellStart"/>
      <w:r w:rsidRPr="008D0812">
        <w:rPr>
          <w:rFonts w:eastAsia="Times New Roman"/>
          <w:sz w:val="22"/>
          <w:szCs w:val="22"/>
        </w:rPr>
        <w:t>Raudenbush</w:t>
      </w:r>
      <w:proofErr w:type="spellEnd"/>
      <w:r w:rsidRPr="008D0812">
        <w:rPr>
          <w:rFonts w:eastAsia="Times New Roman"/>
          <w:sz w:val="22"/>
          <w:szCs w:val="22"/>
        </w:rPr>
        <w:t>, Assistant General Counsel</w:t>
      </w:r>
    </w:p>
    <w:p w:rsidR="003E6F13" w:rsidRPr="008D0812" w:rsidRDefault="003E6F13" w:rsidP="003E6F13">
      <w:pPr>
        <w:rPr>
          <w:rFonts w:eastAsia="Times New Roman"/>
          <w:sz w:val="22"/>
          <w:szCs w:val="22"/>
        </w:rPr>
      </w:pPr>
      <w:r w:rsidRPr="008D0812">
        <w:rPr>
          <w:rFonts w:eastAsia="Times New Roman"/>
          <w:sz w:val="22"/>
          <w:szCs w:val="22"/>
        </w:rPr>
        <w:t>Office of General Counsel</w:t>
      </w:r>
    </w:p>
    <w:p w:rsidR="003E6F13" w:rsidRPr="008D0812" w:rsidRDefault="003E6F13" w:rsidP="003E6F13">
      <w:pPr>
        <w:rPr>
          <w:rFonts w:eastAsia="Times New Roman"/>
          <w:sz w:val="22"/>
          <w:szCs w:val="22"/>
        </w:rPr>
      </w:pPr>
      <w:r w:rsidRPr="008D0812">
        <w:rPr>
          <w:rFonts w:eastAsia="Times New Roman"/>
          <w:sz w:val="22"/>
          <w:szCs w:val="22"/>
        </w:rPr>
        <w:t>Federal Housing Finance Agency</w:t>
      </w:r>
    </w:p>
    <w:p w:rsidR="003E6F13" w:rsidRPr="008D0812" w:rsidRDefault="003E6F13" w:rsidP="003E6F13">
      <w:pPr>
        <w:rPr>
          <w:rFonts w:eastAsia="Times New Roman"/>
          <w:sz w:val="22"/>
          <w:szCs w:val="22"/>
        </w:rPr>
      </w:pPr>
      <w:r w:rsidRPr="008D0812">
        <w:rPr>
          <w:rFonts w:eastAsia="Times New Roman"/>
          <w:sz w:val="22"/>
          <w:szCs w:val="22"/>
        </w:rPr>
        <w:t xml:space="preserve">400 Seventh Street </w:t>
      </w:r>
      <w:r w:rsidR="003F1F2B" w:rsidRPr="008D0812">
        <w:rPr>
          <w:rFonts w:eastAsia="Times New Roman"/>
          <w:sz w:val="22"/>
          <w:szCs w:val="22"/>
        </w:rPr>
        <w:t>SW</w:t>
      </w:r>
      <w:r w:rsidRPr="008D0812">
        <w:rPr>
          <w:rFonts w:eastAsia="Times New Roman"/>
          <w:sz w:val="22"/>
          <w:szCs w:val="22"/>
        </w:rPr>
        <w:t>, Eighth Floor</w:t>
      </w:r>
    </w:p>
    <w:p w:rsidR="003E6F13" w:rsidRPr="008D0812" w:rsidRDefault="003E6F13" w:rsidP="003E6F13">
      <w:pPr>
        <w:rPr>
          <w:rFonts w:eastAsia="Times New Roman"/>
          <w:sz w:val="22"/>
          <w:szCs w:val="22"/>
        </w:rPr>
      </w:pPr>
      <w:r w:rsidRPr="008D0812">
        <w:rPr>
          <w:rFonts w:eastAsia="Times New Roman"/>
          <w:sz w:val="22"/>
          <w:szCs w:val="22"/>
        </w:rPr>
        <w:t>Washington, DC 20024</w:t>
      </w:r>
    </w:p>
    <w:p w:rsidR="003E6F13" w:rsidRPr="008D0812" w:rsidRDefault="003E6F13" w:rsidP="00F80C4D">
      <w:pPr>
        <w:rPr>
          <w:rFonts w:eastAsia="Times New Roman"/>
          <w:sz w:val="22"/>
          <w:szCs w:val="22"/>
        </w:rPr>
      </w:pPr>
    </w:p>
    <w:p w:rsidR="003E6F13" w:rsidRPr="008D0812" w:rsidRDefault="003E6F13" w:rsidP="003E6F13">
      <w:pPr>
        <w:ind w:firstLine="720"/>
        <w:rPr>
          <w:rFonts w:eastAsia="Times New Roman"/>
          <w:sz w:val="22"/>
          <w:szCs w:val="22"/>
        </w:rPr>
      </w:pPr>
      <w:r w:rsidRPr="008D0812">
        <w:rPr>
          <w:rFonts w:eastAsia="Times New Roman"/>
          <w:sz w:val="22"/>
          <w:szCs w:val="22"/>
        </w:rPr>
        <w:t xml:space="preserve">Via: </w:t>
      </w:r>
      <w:hyperlink r:id="rId10" w:history="1">
        <w:r w:rsidRPr="008D0812">
          <w:rPr>
            <w:rStyle w:val="Hyperlink"/>
            <w:rFonts w:eastAsia="Times New Roman"/>
            <w:sz w:val="22"/>
            <w:szCs w:val="22"/>
          </w:rPr>
          <w:t>www.fhfa.gov/open-for-comment-or-input</w:t>
        </w:r>
      </w:hyperlink>
      <w:r w:rsidRPr="008D0812">
        <w:rPr>
          <w:rFonts w:eastAsia="Times New Roman"/>
          <w:sz w:val="22"/>
          <w:szCs w:val="22"/>
        </w:rPr>
        <w:t xml:space="preserve"> (RIN 2590–AA39) and </w:t>
      </w:r>
    </w:p>
    <w:p w:rsidR="003E6F13" w:rsidRPr="008D0812" w:rsidRDefault="003E6F13" w:rsidP="003E6F13">
      <w:pPr>
        <w:ind w:firstLine="720"/>
        <w:rPr>
          <w:rFonts w:eastAsia="Times New Roman"/>
          <w:sz w:val="22"/>
          <w:szCs w:val="22"/>
        </w:rPr>
      </w:pPr>
      <w:r w:rsidRPr="008D0812">
        <w:rPr>
          <w:rFonts w:eastAsia="Times New Roman"/>
          <w:sz w:val="22"/>
          <w:szCs w:val="22"/>
        </w:rPr>
        <w:t xml:space="preserve">     </w:t>
      </w:r>
      <w:r w:rsidR="00F30D3A" w:rsidRPr="008D0812">
        <w:rPr>
          <w:rFonts w:eastAsia="Times New Roman"/>
          <w:sz w:val="22"/>
          <w:szCs w:val="22"/>
        </w:rPr>
        <w:t xml:space="preserve"> </w:t>
      </w:r>
      <w:r w:rsidRPr="008D0812">
        <w:rPr>
          <w:rFonts w:eastAsia="Times New Roman"/>
          <w:sz w:val="22"/>
          <w:szCs w:val="22"/>
        </w:rPr>
        <w:t xml:space="preserve">  </w:t>
      </w:r>
      <w:hyperlink r:id="rId11" w:history="1">
        <w:r w:rsidRPr="008D0812">
          <w:rPr>
            <w:rStyle w:val="Hyperlink"/>
            <w:rFonts w:eastAsia="Times New Roman"/>
            <w:sz w:val="22"/>
            <w:szCs w:val="22"/>
          </w:rPr>
          <w:t>RegComments@fhfa.gov</w:t>
        </w:r>
      </w:hyperlink>
      <w:r w:rsidRPr="008D0812">
        <w:rPr>
          <w:rFonts w:eastAsia="Times New Roman"/>
          <w:sz w:val="22"/>
          <w:szCs w:val="22"/>
        </w:rPr>
        <w:t xml:space="preserve"> (Comments/RIN 2590–AA39)</w:t>
      </w:r>
    </w:p>
    <w:p w:rsidR="003E6F13" w:rsidRPr="008D0812" w:rsidRDefault="003E6F13" w:rsidP="003E6F13">
      <w:pPr>
        <w:rPr>
          <w:rFonts w:eastAsia="Times New Roman"/>
          <w:sz w:val="22"/>
          <w:szCs w:val="22"/>
        </w:rPr>
      </w:pPr>
    </w:p>
    <w:p w:rsidR="003E6F13" w:rsidRPr="008D0812" w:rsidRDefault="003E6F13" w:rsidP="003E6F13">
      <w:pPr>
        <w:rPr>
          <w:rFonts w:eastAsia="Times New Roman"/>
          <w:sz w:val="22"/>
          <w:szCs w:val="22"/>
        </w:rPr>
      </w:pPr>
      <w:r w:rsidRPr="008D0812">
        <w:rPr>
          <w:rFonts w:eastAsia="Times New Roman"/>
          <w:sz w:val="22"/>
          <w:szCs w:val="22"/>
        </w:rPr>
        <w:t xml:space="preserve">Re: </w:t>
      </w:r>
      <w:r w:rsidR="00D151EB" w:rsidRPr="008D0812">
        <w:rPr>
          <w:sz w:val="22"/>
          <w:szCs w:val="22"/>
        </w:rPr>
        <w:t>FHFA’s proposed rule on FHLB membership (</w:t>
      </w:r>
      <w:r w:rsidRPr="008D0812">
        <w:rPr>
          <w:rFonts w:eastAsia="Times New Roman"/>
          <w:sz w:val="22"/>
          <w:szCs w:val="22"/>
        </w:rPr>
        <w:t>RIN 2590–AA39</w:t>
      </w:r>
      <w:r w:rsidR="00D151EB" w:rsidRPr="008D0812">
        <w:rPr>
          <w:rFonts w:eastAsia="Times New Roman"/>
          <w:sz w:val="22"/>
          <w:szCs w:val="22"/>
        </w:rPr>
        <w:t>)</w:t>
      </w:r>
    </w:p>
    <w:p w:rsidR="003E6F13" w:rsidRPr="008D0812" w:rsidRDefault="003E6F13" w:rsidP="003E6F13">
      <w:pPr>
        <w:rPr>
          <w:rFonts w:eastAsia="Times New Roman"/>
          <w:sz w:val="22"/>
          <w:szCs w:val="22"/>
        </w:rPr>
      </w:pPr>
    </w:p>
    <w:p w:rsidR="003E6F13" w:rsidRPr="008D0812" w:rsidRDefault="003E6F13" w:rsidP="003E6F13">
      <w:pPr>
        <w:rPr>
          <w:rFonts w:eastAsia="Times New Roman"/>
          <w:sz w:val="22"/>
          <w:szCs w:val="22"/>
        </w:rPr>
      </w:pPr>
      <w:r w:rsidRPr="008D0812">
        <w:rPr>
          <w:rFonts w:eastAsia="Times New Roman"/>
          <w:sz w:val="22"/>
          <w:szCs w:val="22"/>
        </w:rPr>
        <w:t xml:space="preserve">Dear Mr. </w:t>
      </w:r>
      <w:proofErr w:type="spellStart"/>
      <w:r w:rsidRPr="008D0812">
        <w:rPr>
          <w:rFonts w:eastAsia="Times New Roman"/>
          <w:sz w:val="22"/>
          <w:szCs w:val="22"/>
        </w:rPr>
        <w:t>Raudenbush</w:t>
      </w:r>
      <w:proofErr w:type="spellEnd"/>
      <w:r w:rsidRPr="008D0812">
        <w:rPr>
          <w:rFonts w:eastAsia="Times New Roman"/>
          <w:sz w:val="22"/>
          <w:szCs w:val="22"/>
        </w:rPr>
        <w:t>:</w:t>
      </w:r>
    </w:p>
    <w:p w:rsidR="003E6F13" w:rsidRPr="008D0812" w:rsidRDefault="003E6F13" w:rsidP="003E6F13">
      <w:pPr>
        <w:rPr>
          <w:rFonts w:eastAsia="Times New Roman"/>
          <w:sz w:val="22"/>
          <w:szCs w:val="22"/>
        </w:rPr>
      </w:pPr>
    </w:p>
    <w:p w:rsidR="00B43E29" w:rsidRPr="008D0812" w:rsidRDefault="00B34E9E" w:rsidP="003E6F13">
      <w:pPr>
        <w:rPr>
          <w:sz w:val="22"/>
          <w:szCs w:val="22"/>
        </w:rPr>
      </w:pPr>
      <w:r w:rsidRPr="008D0812">
        <w:rPr>
          <w:rFonts w:eastAsia="Times New Roman"/>
          <w:sz w:val="22"/>
          <w:szCs w:val="22"/>
        </w:rPr>
        <w:t>O</w:t>
      </w:r>
      <w:r w:rsidR="003E6F13" w:rsidRPr="008D0812">
        <w:rPr>
          <w:rFonts w:eastAsia="Times New Roman"/>
          <w:sz w:val="22"/>
          <w:szCs w:val="22"/>
        </w:rPr>
        <w:t>n behalf of Denali Alaskan Federal Credit Union</w:t>
      </w:r>
      <w:r w:rsidR="00F30D3A" w:rsidRPr="008D0812">
        <w:rPr>
          <w:rFonts w:eastAsia="Times New Roman"/>
          <w:sz w:val="22"/>
          <w:szCs w:val="22"/>
        </w:rPr>
        <w:t>,</w:t>
      </w:r>
      <w:r w:rsidR="003E6F13" w:rsidRPr="008D0812">
        <w:rPr>
          <w:rFonts w:eastAsia="Times New Roman"/>
          <w:sz w:val="22"/>
          <w:szCs w:val="22"/>
        </w:rPr>
        <w:t xml:space="preserve"> headquartered in Anchorage, Alaska</w:t>
      </w:r>
      <w:r w:rsidRPr="008D0812">
        <w:rPr>
          <w:rFonts w:eastAsia="Times New Roman"/>
          <w:sz w:val="22"/>
          <w:szCs w:val="22"/>
        </w:rPr>
        <w:t xml:space="preserve">, I write to you to submit the following comments on the Federal Housing Finance Agency’s (FHFA) proposed rule on membership </w:t>
      </w:r>
      <w:r w:rsidR="00EE4B26">
        <w:rPr>
          <w:rFonts w:eastAsia="Times New Roman"/>
          <w:sz w:val="22"/>
          <w:szCs w:val="22"/>
        </w:rPr>
        <w:t>requirements</w:t>
      </w:r>
      <w:r w:rsidRPr="008D0812">
        <w:rPr>
          <w:rFonts w:eastAsia="Times New Roman"/>
          <w:sz w:val="22"/>
          <w:szCs w:val="22"/>
        </w:rPr>
        <w:t xml:space="preserve"> for the </w:t>
      </w:r>
      <w:r w:rsidRPr="008D0812">
        <w:rPr>
          <w:sz w:val="22"/>
          <w:szCs w:val="22"/>
        </w:rPr>
        <w:t xml:space="preserve">Federal Home Loan Banks (FHLB).  </w:t>
      </w:r>
      <w:r w:rsidR="00235A84" w:rsidRPr="008D0812">
        <w:rPr>
          <w:rFonts w:eastAsia="Times New Roman"/>
          <w:sz w:val="22"/>
          <w:szCs w:val="22"/>
        </w:rPr>
        <w:t>In addition to serving as the President and CEO of Denali Alaskan, I also sit on the Board of the Fe</w:t>
      </w:r>
      <w:r w:rsidR="004D0996" w:rsidRPr="008D0812">
        <w:rPr>
          <w:rFonts w:eastAsia="Times New Roman"/>
          <w:sz w:val="22"/>
          <w:szCs w:val="22"/>
        </w:rPr>
        <w:t xml:space="preserve">deral Home Loan Bank of Seattle; this is </w:t>
      </w:r>
      <w:r w:rsidR="00235A84" w:rsidRPr="008D0812">
        <w:rPr>
          <w:rFonts w:eastAsia="Times New Roman"/>
          <w:sz w:val="22"/>
          <w:szCs w:val="22"/>
        </w:rPr>
        <w:t xml:space="preserve">a uniquely held position for a credit union.  </w:t>
      </w:r>
      <w:r w:rsidR="00F30D3A" w:rsidRPr="008D0812">
        <w:rPr>
          <w:sz w:val="22"/>
          <w:szCs w:val="22"/>
        </w:rPr>
        <w:t>As currently drafted, t</w:t>
      </w:r>
      <w:r w:rsidRPr="008D0812">
        <w:rPr>
          <w:sz w:val="22"/>
          <w:szCs w:val="22"/>
        </w:rPr>
        <w:t xml:space="preserve">his proposed rule </w:t>
      </w:r>
      <w:r w:rsidR="00F30D3A" w:rsidRPr="008D0812">
        <w:rPr>
          <w:sz w:val="22"/>
          <w:szCs w:val="22"/>
        </w:rPr>
        <w:t>w</w:t>
      </w:r>
      <w:r w:rsidRPr="008D0812">
        <w:rPr>
          <w:sz w:val="22"/>
          <w:szCs w:val="22"/>
        </w:rPr>
        <w:t xml:space="preserve">ould have </w:t>
      </w:r>
      <w:r w:rsidR="00F30D3A" w:rsidRPr="008D0812">
        <w:rPr>
          <w:sz w:val="22"/>
          <w:szCs w:val="22"/>
        </w:rPr>
        <w:t xml:space="preserve">a </w:t>
      </w:r>
      <w:r w:rsidRPr="008D0812">
        <w:rPr>
          <w:sz w:val="22"/>
          <w:szCs w:val="22"/>
        </w:rPr>
        <w:t>lasting detrimental impact on the ability of credit unions and community banks to establish and maintain membership in the FHLBs.</w:t>
      </w:r>
    </w:p>
    <w:p w:rsidR="00CF0D14" w:rsidRPr="008D0812" w:rsidRDefault="00CF0D14" w:rsidP="003E6F13">
      <w:pPr>
        <w:rPr>
          <w:sz w:val="22"/>
          <w:szCs w:val="22"/>
        </w:rPr>
      </w:pPr>
    </w:p>
    <w:p w:rsidR="00CF0D14" w:rsidRPr="008D0812" w:rsidRDefault="00CF0D14" w:rsidP="003E6F13">
      <w:pPr>
        <w:rPr>
          <w:sz w:val="22"/>
          <w:szCs w:val="22"/>
        </w:rPr>
      </w:pPr>
      <w:r w:rsidRPr="008D0812">
        <w:rPr>
          <w:sz w:val="22"/>
          <w:szCs w:val="22"/>
        </w:rPr>
        <w:t>Overall</w:t>
      </w:r>
      <w:r w:rsidR="004D0996" w:rsidRPr="008D0812">
        <w:rPr>
          <w:sz w:val="22"/>
          <w:szCs w:val="22"/>
        </w:rPr>
        <w:t>,</w:t>
      </w:r>
      <w:r w:rsidRPr="008D0812">
        <w:rPr>
          <w:sz w:val="22"/>
          <w:szCs w:val="22"/>
        </w:rPr>
        <w:t xml:space="preserve"> the proposed regulation would make it more difficult for credit unions to maintain access to the FHLB </w:t>
      </w:r>
      <w:r w:rsidR="004D0996" w:rsidRPr="008D0812">
        <w:rPr>
          <w:sz w:val="22"/>
          <w:szCs w:val="22"/>
        </w:rPr>
        <w:t>s</w:t>
      </w:r>
      <w:r w:rsidRPr="008D0812">
        <w:rPr>
          <w:sz w:val="22"/>
          <w:szCs w:val="22"/>
        </w:rPr>
        <w:t>ystem, and we question the need for the proposal at all.  Just four years ago, Congress reviewed FHLB membership rules and saw no need to narrow eligibility for the FHLB</w:t>
      </w:r>
      <w:r w:rsidR="004D0996" w:rsidRPr="008D0812">
        <w:rPr>
          <w:sz w:val="22"/>
          <w:szCs w:val="22"/>
        </w:rPr>
        <w:t>s</w:t>
      </w:r>
      <w:r w:rsidRPr="008D0812">
        <w:rPr>
          <w:sz w:val="22"/>
          <w:szCs w:val="22"/>
        </w:rPr>
        <w:t xml:space="preserve">.  </w:t>
      </w:r>
      <w:r w:rsidR="00595E9A">
        <w:rPr>
          <w:sz w:val="22"/>
          <w:szCs w:val="22"/>
        </w:rPr>
        <w:t>C</w:t>
      </w:r>
      <w:r w:rsidRPr="008D0812">
        <w:rPr>
          <w:sz w:val="22"/>
          <w:szCs w:val="22"/>
        </w:rPr>
        <w:t xml:space="preserve">redit union membership in the FHLBs has been steadily increasing over the past few years to almost 20%, which represents over 75% of </w:t>
      </w:r>
      <w:r w:rsidR="00595E9A">
        <w:rPr>
          <w:sz w:val="22"/>
          <w:szCs w:val="22"/>
        </w:rPr>
        <w:t>total</w:t>
      </w:r>
      <w:r w:rsidRPr="008D0812">
        <w:rPr>
          <w:sz w:val="22"/>
          <w:szCs w:val="22"/>
        </w:rPr>
        <w:t xml:space="preserve"> credit union assets.</w:t>
      </w:r>
      <w:r w:rsidRPr="008D0812">
        <w:rPr>
          <w:rStyle w:val="FootnoteReference"/>
          <w:sz w:val="22"/>
          <w:szCs w:val="22"/>
        </w:rPr>
        <w:footnoteReference w:id="1"/>
      </w:r>
      <w:r w:rsidRPr="008D0812">
        <w:rPr>
          <w:sz w:val="22"/>
          <w:szCs w:val="22"/>
        </w:rPr>
        <w:t xml:space="preserve">  </w:t>
      </w:r>
      <w:r w:rsidR="00AC25AB">
        <w:rPr>
          <w:sz w:val="22"/>
          <w:szCs w:val="22"/>
        </w:rPr>
        <w:t>FHLBs</w:t>
      </w:r>
      <w:r w:rsidR="00AC25AB" w:rsidRPr="00AC25AB">
        <w:rPr>
          <w:sz w:val="22"/>
          <w:szCs w:val="22"/>
        </w:rPr>
        <w:t xml:space="preserve"> represent the largest collective source of home mortgage credit in the U.S. and they have been a source of significant assistance to participating credit unions.</w:t>
      </w:r>
    </w:p>
    <w:p w:rsidR="00B43E29" w:rsidRPr="008D0812" w:rsidRDefault="00B43E29" w:rsidP="003E6F13">
      <w:pPr>
        <w:rPr>
          <w:sz w:val="22"/>
          <w:szCs w:val="22"/>
        </w:rPr>
      </w:pPr>
    </w:p>
    <w:p w:rsidR="004D0996" w:rsidRPr="008D0812" w:rsidRDefault="00B43E29" w:rsidP="00B43E29">
      <w:pPr>
        <w:rPr>
          <w:color w:val="000000"/>
          <w:sz w:val="22"/>
          <w:szCs w:val="22"/>
          <w:shd w:val="clear" w:color="auto" w:fill="FFFFFF"/>
        </w:rPr>
      </w:pPr>
      <w:r w:rsidRPr="008D0812">
        <w:rPr>
          <w:color w:val="000000"/>
          <w:sz w:val="22"/>
          <w:szCs w:val="22"/>
          <w:shd w:val="clear" w:color="auto" w:fill="FFFFFF"/>
        </w:rPr>
        <w:t xml:space="preserve">The FHLBs are a vital source of liquidity.  </w:t>
      </w:r>
      <w:r w:rsidRPr="008D0812">
        <w:rPr>
          <w:sz w:val="22"/>
          <w:szCs w:val="22"/>
        </w:rPr>
        <w:t>The FHLB</w:t>
      </w:r>
      <w:r w:rsidR="004D0996" w:rsidRPr="008D0812">
        <w:rPr>
          <w:sz w:val="22"/>
          <w:szCs w:val="22"/>
        </w:rPr>
        <w:t>s</w:t>
      </w:r>
      <w:r w:rsidRPr="008D0812">
        <w:rPr>
          <w:sz w:val="22"/>
          <w:szCs w:val="22"/>
        </w:rPr>
        <w:t xml:space="preserve"> provides </w:t>
      </w:r>
      <w:r w:rsidR="004D0996" w:rsidRPr="008D0812">
        <w:rPr>
          <w:sz w:val="22"/>
          <w:szCs w:val="22"/>
        </w:rPr>
        <w:t>their</w:t>
      </w:r>
      <w:r w:rsidRPr="008D0812">
        <w:rPr>
          <w:sz w:val="22"/>
          <w:szCs w:val="22"/>
        </w:rPr>
        <w:t xml:space="preserve"> members with a</w:t>
      </w:r>
      <w:r w:rsidR="004D0996" w:rsidRPr="008D0812">
        <w:rPr>
          <w:sz w:val="22"/>
          <w:szCs w:val="22"/>
        </w:rPr>
        <w:t>n important</w:t>
      </w:r>
      <w:r w:rsidRPr="008D0812">
        <w:rPr>
          <w:sz w:val="22"/>
          <w:szCs w:val="22"/>
        </w:rPr>
        <w:t xml:space="preserve"> source of funding for mortgages and asset-liability management, liquidity for short-term needs, and additional funds for housing finance and community development.</w:t>
      </w:r>
      <w:r w:rsidRPr="008D0812">
        <w:rPr>
          <w:color w:val="000000"/>
          <w:sz w:val="22"/>
          <w:szCs w:val="22"/>
          <w:shd w:val="clear" w:color="auto" w:fill="FFFFFF"/>
        </w:rPr>
        <w:t xml:space="preserve">  Most concerning, FHFA’s proposal will reduce liquidity and make borrowing </w:t>
      </w:r>
      <w:r w:rsidR="004D0996" w:rsidRPr="008D0812">
        <w:rPr>
          <w:color w:val="000000"/>
          <w:sz w:val="22"/>
          <w:szCs w:val="22"/>
          <w:shd w:val="clear" w:color="auto" w:fill="FFFFFF"/>
        </w:rPr>
        <w:t>in</w:t>
      </w:r>
      <w:r w:rsidRPr="008D0812">
        <w:rPr>
          <w:color w:val="000000"/>
          <w:sz w:val="22"/>
          <w:szCs w:val="22"/>
          <w:shd w:val="clear" w:color="auto" w:fill="FFFFFF"/>
        </w:rPr>
        <w:t xml:space="preserve"> the FHLB</w:t>
      </w:r>
      <w:r w:rsidR="004D0996" w:rsidRPr="008D0812">
        <w:rPr>
          <w:color w:val="000000"/>
          <w:sz w:val="22"/>
          <w:szCs w:val="22"/>
          <w:shd w:val="clear" w:color="auto" w:fill="FFFFFF"/>
        </w:rPr>
        <w:t xml:space="preserve"> system</w:t>
      </w:r>
      <w:r w:rsidRPr="008D0812">
        <w:rPr>
          <w:color w:val="000000"/>
          <w:sz w:val="22"/>
          <w:szCs w:val="22"/>
          <w:shd w:val="clear" w:color="auto" w:fill="FFFFFF"/>
        </w:rPr>
        <w:t xml:space="preserve"> less certain and more expensive.  Access to liquidity, particularly for credit unions and community</w:t>
      </w:r>
      <w:r w:rsidR="004D0996" w:rsidRPr="008D0812">
        <w:rPr>
          <w:color w:val="000000"/>
          <w:sz w:val="22"/>
          <w:szCs w:val="22"/>
          <w:shd w:val="clear" w:color="auto" w:fill="FFFFFF"/>
        </w:rPr>
        <w:t xml:space="preserve"> banks</w:t>
      </w:r>
      <w:r w:rsidRPr="008D0812">
        <w:rPr>
          <w:color w:val="000000"/>
          <w:sz w:val="22"/>
          <w:szCs w:val="22"/>
          <w:shd w:val="clear" w:color="auto" w:fill="FFFFFF"/>
        </w:rPr>
        <w:t>, is critical</w:t>
      </w:r>
      <w:r w:rsidR="004D0996" w:rsidRPr="008D0812">
        <w:rPr>
          <w:color w:val="000000"/>
          <w:sz w:val="22"/>
          <w:szCs w:val="22"/>
          <w:shd w:val="clear" w:color="auto" w:fill="FFFFFF"/>
        </w:rPr>
        <w:t xml:space="preserve"> to sound operations.</w:t>
      </w:r>
    </w:p>
    <w:p w:rsidR="004D0996" w:rsidRPr="008D0812" w:rsidRDefault="004D0996" w:rsidP="00B43E29">
      <w:pPr>
        <w:rPr>
          <w:color w:val="000000"/>
          <w:sz w:val="22"/>
          <w:szCs w:val="22"/>
          <w:shd w:val="clear" w:color="auto" w:fill="FFFFFF"/>
        </w:rPr>
      </w:pPr>
    </w:p>
    <w:p w:rsidR="00B43E29" w:rsidRPr="008D0812" w:rsidRDefault="004D0996" w:rsidP="00B43E29">
      <w:pPr>
        <w:rPr>
          <w:color w:val="000000"/>
          <w:sz w:val="22"/>
          <w:szCs w:val="22"/>
          <w:shd w:val="clear" w:color="auto" w:fill="FFFFFF"/>
        </w:rPr>
      </w:pPr>
      <w:r w:rsidRPr="008D0812">
        <w:rPr>
          <w:color w:val="000000"/>
          <w:sz w:val="22"/>
          <w:szCs w:val="22"/>
          <w:shd w:val="clear" w:color="auto" w:fill="FFFFFF"/>
        </w:rPr>
        <w:t>T</w:t>
      </w:r>
      <w:r w:rsidR="00B43E29" w:rsidRPr="008D0812">
        <w:rPr>
          <w:color w:val="000000"/>
          <w:sz w:val="22"/>
          <w:szCs w:val="22"/>
          <w:shd w:val="clear" w:color="auto" w:fill="FFFFFF"/>
        </w:rPr>
        <w:t xml:space="preserve">his rule is unnecessary and runs counter to the authorizing statute, putting at risk an important source of liquidity for credit unions at a time when such liquidity is vitally necessary.  Hence, we and other concerned stakeholders have termed this rule FHFA’s “anti-liquidity rule.” </w:t>
      </w:r>
    </w:p>
    <w:p w:rsidR="00161CC5" w:rsidRDefault="00161CC5" w:rsidP="00161CC5">
      <w:pPr>
        <w:pStyle w:val="Default"/>
        <w:rPr>
          <w:sz w:val="22"/>
          <w:szCs w:val="22"/>
        </w:rPr>
      </w:pPr>
    </w:p>
    <w:p w:rsidR="00A12E43" w:rsidRDefault="00A12E43" w:rsidP="00161CC5">
      <w:pPr>
        <w:pStyle w:val="Default"/>
        <w:rPr>
          <w:sz w:val="22"/>
          <w:szCs w:val="22"/>
        </w:rPr>
      </w:pPr>
    </w:p>
    <w:p w:rsidR="00A12E43" w:rsidRPr="008D0812" w:rsidRDefault="00A12E43" w:rsidP="00161CC5">
      <w:pPr>
        <w:pStyle w:val="Default"/>
        <w:rPr>
          <w:sz w:val="22"/>
          <w:szCs w:val="22"/>
        </w:rPr>
      </w:pPr>
    </w:p>
    <w:p w:rsidR="00E74900" w:rsidRPr="008D0812" w:rsidRDefault="00E74900" w:rsidP="00161CC5">
      <w:pPr>
        <w:pStyle w:val="Default"/>
        <w:rPr>
          <w:b/>
          <w:sz w:val="22"/>
          <w:szCs w:val="22"/>
          <w:u w:val="single"/>
        </w:rPr>
      </w:pPr>
      <w:r w:rsidRPr="008D0812">
        <w:rPr>
          <w:b/>
          <w:sz w:val="22"/>
          <w:szCs w:val="22"/>
          <w:u w:val="single"/>
        </w:rPr>
        <w:lastRenderedPageBreak/>
        <w:t>Membership Qualification</w:t>
      </w:r>
    </w:p>
    <w:p w:rsidR="00DE139A" w:rsidRPr="008D0812" w:rsidRDefault="00246524" w:rsidP="00346BF1">
      <w:pPr>
        <w:rPr>
          <w:sz w:val="22"/>
          <w:szCs w:val="22"/>
        </w:rPr>
      </w:pPr>
      <w:r w:rsidRPr="008D0812">
        <w:rPr>
          <w:sz w:val="22"/>
          <w:szCs w:val="22"/>
        </w:rPr>
        <w:t xml:space="preserve">The </w:t>
      </w:r>
      <w:r w:rsidR="00CF0D14" w:rsidRPr="008D0812">
        <w:rPr>
          <w:sz w:val="22"/>
          <w:szCs w:val="22"/>
        </w:rPr>
        <w:t xml:space="preserve">many different </w:t>
      </w:r>
      <w:r w:rsidRPr="008D0812">
        <w:rPr>
          <w:sz w:val="22"/>
          <w:szCs w:val="22"/>
        </w:rPr>
        <w:t>types of</w:t>
      </w:r>
      <w:r w:rsidR="00CF0D14" w:rsidRPr="008D0812">
        <w:rPr>
          <w:sz w:val="22"/>
          <w:szCs w:val="22"/>
        </w:rPr>
        <w:t xml:space="preserve"> financial</w:t>
      </w:r>
      <w:r w:rsidRPr="008D0812">
        <w:rPr>
          <w:sz w:val="22"/>
          <w:szCs w:val="22"/>
        </w:rPr>
        <w:t xml:space="preserve"> entities eligible for membership in the FHLB </w:t>
      </w:r>
      <w:r w:rsidR="004D0996" w:rsidRPr="008D0812">
        <w:rPr>
          <w:sz w:val="22"/>
          <w:szCs w:val="22"/>
        </w:rPr>
        <w:t>s</w:t>
      </w:r>
      <w:r w:rsidRPr="008D0812">
        <w:rPr>
          <w:sz w:val="22"/>
          <w:szCs w:val="22"/>
        </w:rPr>
        <w:t xml:space="preserve">ystem are </w:t>
      </w:r>
      <w:r w:rsidR="00CF0D14" w:rsidRPr="008D0812">
        <w:rPr>
          <w:sz w:val="22"/>
          <w:szCs w:val="22"/>
        </w:rPr>
        <w:t xml:space="preserve">expressly </w:t>
      </w:r>
      <w:r w:rsidR="004D0996" w:rsidRPr="008D0812">
        <w:rPr>
          <w:sz w:val="22"/>
          <w:szCs w:val="22"/>
        </w:rPr>
        <w:t xml:space="preserve">delineated in statute </w:t>
      </w:r>
      <w:r w:rsidR="004D0996" w:rsidRPr="00AC25AB">
        <w:rPr>
          <w:sz w:val="22"/>
          <w:szCs w:val="22"/>
        </w:rPr>
        <w:t>and i</w:t>
      </w:r>
      <w:r w:rsidRPr="00AC25AB">
        <w:rPr>
          <w:sz w:val="22"/>
          <w:szCs w:val="22"/>
        </w:rPr>
        <w:t>nclud</w:t>
      </w:r>
      <w:r w:rsidR="004D0996" w:rsidRPr="00AC25AB">
        <w:rPr>
          <w:sz w:val="22"/>
          <w:szCs w:val="22"/>
        </w:rPr>
        <w:t>es</w:t>
      </w:r>
      <w:r w:rsidRPr="00AC25AB">
        <w:rPr>
          <w:sz w:val="22"/>
          <w:szCs w:val="22"/>
        </w:rPr>
        <w:t xml:space="preserve"> insurance companies</w:t>
      </w:r>
      <w:r w:rsidRPr="008D0812">
        <w:rPr>
          <w:rStyle w:val="FootnoteReference"/>
          <w:b/>
          <w:sz w:val="22"/>
          <w:szCs w:val="22"/>
          <w:vertAlign w:val="baseline"/>
        </w:rPr>
        <w:t>.</w:t>
      </w:r>
      <w:r w:rsidRPr="008D0812">
        <w:rPr>
          <w:rStyle w:val="FootnoteReference"/>
          <w:sz w:val="22"/>
          <w:szCs w:val="22"/>
          <w:vertAlign w:val="baseline"/>
        </w:rPr>
        <w:t xml:space="preserve">  </w:t>
      </w:r>
      <w:r w:rsidR="004D0996" w:rsidRPr="008D0812">
        <w:rPr>
          <w:rStyle w:val="FootnoteReference"/>
          <w:sz w:val="22"/>
          <w:szCs w:val="22"/>
          <w:vertAlign w:val="baseline"/>
        </w:rPr>
        <w:t>However, r</w:t>
      </w:r>
      <w:r w:rsidRPr="008D0812">
        <w:rPr>
          <w:rStyle w:val="FootnoteReference"/>
          <w:sz w:val="22"/>
          <w:szCs w:val="22"/>
          <w:vertAlign w:val="baseline"/>
        </w:rPr>
        <w:t>evisions</w:t>
      </w:r>
      <w:r w:rsidR="003C0E7C" w:rsidRPr="008D0812">
        <w:rPr>
          <w:sz w:val="22"/>
          <w:szCs w:val="22"/>
        </w:rPr>
        <w:t xml:space="preserve"> to the definition of insurance company in the </w:t>
      </w:r>
      <w:r w:rsidR="00CF0D14" w:rsidRPr="008D0812">
        <w:rPr>
          <w:sz w:val="22"/>
          <w:szCs w:val="22"/>
        </w:rPr>
        <w:t>agency’s proposed rule</w:t>
      </w:r>
      <w:r w:rsidR="003C0E7C" w:rsidRPr="008D0812">
        <w:rPr>
          <w:sz w:val="22"/>
          <w:szCs w:val="22"/>
        </w:rPr>
        <w:t xml:space="preserve"> would effectively ban captive insurers from membership and prevent </w:t>
      </w:r>
      <w:r w:rsidR="00CF0D14" w:rsidRPr="008D0812">
        <w:rPr>
          <w:sz w:val="22"/>
          <w:szCs w:val="22"/>
        </w:rPr>
        <w:t xml:space="preserve">other </w:t>
      </w:r>
      <w:r w:rsidR="003C0E7C" w:rsidRPr="008D0812">
        <w:rPr>
          <w:sz w:val="22"/>
          <w:szCs w:val="22"/>
        </w:rPr>
        <w:t xml:space="preserve">entities from gaining access to benefits through a captive.  </w:t>
      </w:r>
      <w:r w:rsidRPr="008D0812">
        <w:rPr>
          <w:sz w:val="22"/>
          <w:szCs w:val="22"/>
        </w:rPr>
        <w:t>The proposal</w:t>
      </w:r>
      <w:r w:rsidR="004D0996" w:rsidRPr="008D0812">
        <w:rPr>
          <w:sz w:val="22"/>
          <w:szCs w:val="22"/>
        </w:rPr>
        <w:t xml:space="preserve"> therefore</w:t>
      </w:r>
      <w:r w:rsidR="00DE139A" w:rsidRPr="008D0812">
        <w:rPr>
          <w:sz w:val="22"/>
          <w:szCs w:val="22"/>
        </w:rPr>
        <w:t xml:space="preserve"> runs counter to t</w:t>
      </w:r>
      <w:r w:rsidR="00346BF1" w:rsidRPr="008D0812">
        <w:rPr>
          <w:sz w:val="22"/>
          <w:szCs w:val="22"/>
        </w:rPr>
        <w:t xml:space="preserve">he </w:t>
      </w:r>
      <w:r w:rsidRPr="008D0812">
        <w:rPr>
          <w:sz w:val="22"/>
          <w:szCs w:val="22"/>
        </w:rPr>
        <w:t xml:space="preserve">statute’s </w:t>
      </w:r>
      <w:r w:rsidR="00346BF1" w:rsidRPr="008D0812">
        <w:rPr>
          <w:sz w:val="22"/>
          <w:szCs w:val="22"/>
        </w:rPr>
        <w:t>plain meaning</w:t>
      </w:r>
      <w:r w:rsidR="00DE139A" w:rsidRPr="008D0812">
        <w:rPr>
          <w:sz w:val="22"/>
          <w:szCs w:val="22"/>
        </w:rPr>
        <w:t>.</w:t>
      </w:r>
      <w:r w:rsidR="009B4C99" w:rsidRPr="008D0812">
        <w:rPr>
          <w:sz w:val="22"/>
          <w:szCs w:val="22"/>
        </w:rPr>
        <w:t xml:space="preserve">  </w:t>
      </w:r>
      <w:r w:rsidR="00DE139A" w:rsidRPr="008D0812">
        <w:rPr>
          <w:sz w:val="22"/>
          <w:szCs w:val="22"/>
        </w:rPr>
        <w:t xml:space="preserve">Our sense </w:t>
      </w:r>
      <w:r w:rsidR="009B4C99" w:rsidRPr="008D0812">
        <w:rPr>
          <w:sz w:val="22"/>
          <w:szCs w:val="22"/>
        </w:rPr>
        <w:t>is</w:t>
      </w:r>
      <w:r w:rsidR="00DE139A" w:rsidRPr="008D0812">
        <w:rPr>
          <w:sz w:val="22"/>
          <w:szCs w:val="22"/>
        </w:rPr>
        <w:t xml:space="preserve"> that </w:t>
      </w:r>
      <w:r w:rsidR="009B4C99" w:rsidRPr="008D0812">
        <w:rPr>
          <w:sz w:val="22"/>
          <w:szCs w:val="22"/>
        </w:rPr>
        <w:t>Alaska and Washington S</w:t>
      </w:r>
      <w:r w:rsidR="00DE139A" w:rsidRPr="008D0812">
        <w:rPr>
          <w:sz w:val="22"/>
          <w:szCs w:val="22"/>
        </w:rPr>
        <w:t>tate insurance regulators</w:t>
      </w:r>
      <w:r w:rsidR="009B4C99" w:rsidRPr="008D0812">
        <w:rPr>
          <w:sz w:val="22"/>
          <w:szCs w:val="22"/>
        </w:rPr>
        <w:t>,</w:t>
      </w:r>
      <w:r w:rsidR="00DE139A" w:rsidRPr="008D0812">
        <w:rPr>
          <w:sz w:val="22"/>
          <w:szCs w:val="22"/>
        </w:rPr>
        <w:t xml:space="preserve"> and the FHLBs themselves</w:t>
      </w:r>
      <w:r w:rsidR="009B4C99" w:rsidRPr="008D0812">
        <w:rPr>
          <w:sz w:val="22"/>
          <w:szCs w:val="22"/>
        </w:rPr>
        <w:t>,</w:t>
      </w:r>
      <w:r w:rsidR="00DE139A" w:rsidRPr="008D0812">
        <w:rPr>
          <w:sz w:val="22"/>
          <w:szCs w:val="22"/>
        </w:rPr>
        <w:t xml:space="preserve"> are supportive of the captive insurance model </w:t>
      </w:r>
      <w:r w:rsidR="004D0996" w:rsidRPr="008D0812">
        <w:rPr>
          <w:sz w:val="22"/>
          <w:szCs w:val="22"/>
        </w:rPr>
        <w:t xml:space="preserve">currently </w:t>
      </w:r>
      <w:r w:rsidR="00DE139A" w:rsidRPr="008D0812">
        <w:rPr>
          <w:sz w:val="22"/>
          <w:szCs w:val="22"/>
        </w:rPr>
        <w:t>being used by mortgage real estate investment trusts (REIT).  T</w:t>
      </w:r>
      <w:r w:rsidR="009B4C99" w:rsidRPr="008D0812">
        <w:rPr>
          <w:sz w:val="22"/>
          <w:szCs w:val="22"/>
        </w:rPr>
        <w:t>he</w:t>
      </w:r>
      <w:r w:rsidR="00DE139A" w:rsidRPr="008D0812">
        <w:rPr>
          <w:sz w:val="22"/>
          <w:szCs w:val="22"/>
        </w:rPr>
        <w:t xml:space="preserve"> propos</w:t>
      </w:r>
      <w:r w:rsidR="009B4C99" w:rsidRPr="008D0812">
        <w:rPr>
          <w:sz w:val="22"/>
          <w:szCs w:val="22"/>
        </w:rPr>
        <w:t xml:space="preserve">ed rule would </w:t>
      </w:r>
      <w:r w:rsidR="004D0996" w:rsidRPr="008D0812">
        <w:rPr>
          <w:sz w:val="22"/>
          <w:szCs w:val="22"/>
        </w:rPr>
        <w:t xml:space="preserve">therefore </w:t>
      </w:r>
      <w:r w:rsidR="00DE139A" w:rsidRPr="008D0812">
        <w:rPr>
          <w:sz w:val="22"/>
          <w:szCs w:val="22"/>
        </w:rPr>
        <w:t>dismantl</w:t>
      </w:r>
      <w:r w:rsidR="009B4C99" w:rsidRPr="008D0812">
        <w:rPr>
          <w:sz w:val="22"/>
          <w:szCs w:val="22"/>
        </w:rPr>
        <w:t>e</w:t>
      </w:r>
      <w:r w:rsidR="00DE139A" w:rsidRPr="008D0812">
        <w:rPr>
          <w:sz w:val="22"/>
          <w:szCs w:val="22"/>
        </w:rPr>
        <w:t xml:space="preserve"> a </w:t>
      </w:r>
      <w:r w:rsidR="009B4C99" w:rsidRPr="008D0812">
        <w:rPr>
          <w:sz w:val="22"/>
          <w:szCs w:val="22"/>
        </w:rPr>
        <w:t>sound and</w:t>
      </w:r>
      <w:r w:rsidR="00DE139A" w:rsidRPr="008D0812">
        <w:rPr>
          <w:sz w:val="22"/>
          <w:szCs w:val="22"/>
        </w:rPr>
        <w:t xml:space="preserve"> successful </w:t>
      </w:r>
      <w:r w:rsidR="009B4C99" w:rsidRPr="008D0812">
        <w:rPr>
          <w:sz w:val="22"/>
          <w:szCs w:val="22"/>
        </w:rPr>
        <w:t xml:space="preserve">business model and </w:t>
      </w:r>
      <w:r w:rsidR="00DE139A" w:rsidRPr="008D0812">
        <w:rPr>
          <w:sz w:val="22"/>
          <w:szCs w:val="22"/>
        </w:rPr>
        <w:t>have a devastating impact on REIT</w:t>
      </w:r>
      <w:r w:rsidR="00346BF1" w:rsidRPr="008D0812">
        <w:rPr>
          <w:sz w:val="22"/>
          <w:szCs w:val="22"/>
        </w:rPr>
        <w:t>s</w:t>
      </w:r>
      <w:r w:rsidR="00DE139A" w:rsidRPr="008D0812">
        <w:rPr>
          <w:sz w:val="22"/>
          <w:szCs w:val="22"/>
        </w:rPr>
        <w:t>.</w:t>
      </w:r>
    </w:p>
    <w:p w:rsidR="00E74900" w:rsidRPr="008D0812" w:rsidRDefault="00E74900" w:rsidP="00161CC5">
      <w:pPr>
        <w:pStyle w:val="Default"/>
        <w:rPr>
          <w:b/>
          <w:sz w:val="22"/>
          <w:szCs w:val="22"/>
          <w:u w:val="single"/>
        </w:rPr>
      </w:pPr>
    </w:p>
    <w:p w:rsidR="00E74900" w:rsidRPr="008D0812" w:rsidRDefault="00E74900" w:rsidP="00161CC5">
      <w:pPr>
        <w:pStyle w:val="Default"/>
        <w:rPr>
          <w:b/>
          <w:sz w:val="22"/>
          <w:szCs w:val="22"/>
          <w:u w:val="single"/>
        </w:rPr>
      </w:pPr>
      <w:r w:rsidRPr="008D0812">
        <w:rPr>
          <w:b/>
          <w:sz w:val="22"/>
          <w:szCs w:val="22"/>
          <w:u w:val="single"/>
        </w:rPr>
        <w:t>Ongoing Membership Eligibility Tests</w:t>
      </w:r>
    </w:p>
    <w:p w:rsidR="001A5939" w:rsidRPr="008D0812" w:rsidRDefault="001A5939" w:rsidP="001A5939">
      <w:pPr>
        <w:pStyle w:val="Default"/>
        <w:rPr>
          <w:sz w:val="22"/>
          <w:szCs w:val="22"/>
        </w:rPr>
      </w:pPr>
      <w:r w:rsidRPr="008D0812">
        <w:rPr>
          <w:sz w:val="22"/>
          <w:szCs w:val="22"/>
        </w:rPr>
        <w:t>The proposed rule would impose an ong</w:t>
      </w:r>
      <w:r w:rsidR="00CF0D14" w:rsidRPr="008D0812">
        <w:rPr>
          <w:sz w:val="22"/>
          <w:szCs w:val="22"/>
        </w:rPr>
        <w:t>oing asset test on FHLB members</w:t>
      </w:r>
      <w:r w:rsidRPr="008D0812">
        <w:rPr>
          <w:sz w:val="22"/>
          <w:szCs w:val="22"/>
        </w:rPr>
        <w:t xml:space="preserve"> requiring they </w:t>
      </w:r>
      <w:r w:rsidR="008D0812" w:rsidRPr="008D0812">
        <w:rPr>
          <w:sz w:val="22"/>
          <w:szCs w:val="22"/>
        </w:rPr>
        <w:t xml:space="preserve">continuously </w:t>
      </w:r>
      <w:r w:rsidRPr="008D0812">
        <w:rPr>
          <w:sz w:val="22"/>
          <w:szCs w:val="22"/>
        </w:rPr>
        <w:t xml:space="preserve">track and report on the mortgage related assets held on their books.  Members who fail this ongoing test can be immediately </w:t>
      </w:r>
      <w:r w:rsidR="00CF0D14" w:rsidRPr="008D0812">
        <w:rPr>
          <w:sz w:val="22"/>
          <w:szCs w:val="22"/>
        </w:rPr>
        <w:t>expelled</w:t>
      </w:r>
      <w:r w:rsidRPr="008D0812">
        <w:rPr>
          <w:sz w:val="22"/>
          <w:szCs w:val="22"/>
        </w:rPr>
        <w:t xml:space="preserve"> out of the FHLB </w:t>
      </w:r>
      <w:r w:rsidR="00A12E43">
        <w:rPr>
          <w:sz w:val="22"/>
          <w:szCs w:val="22"/>
        </w:rPr>
        <w:t>s</w:t>
      </w:r>
      <w:r w:rsidRPr="008D0812">
        <w:rPr>
          <w:sz w:val="22"/>
          <w:szCs w:val="22"/>
        </w:rPr>
        <w:t>ystem, which</w:t>
      </w:r>
      <w:r w:rsidR="00595E9A">
        <w:rPr>
          <w:sz w:val="22"/>
          <w:szCs w:val="22"/>
        </w:rPr>
        <w:t xml:space="preserve"> could</w:t>
      </w:r>
      <w:r w:rsidRPr="008D0812">
        <w:rPr>
          <w:sz w:val="22"/>
          <w:szCs w:val="22"/>
        </w:rPr>
        <w:t xml:space="preserve"> destabilize the </w:t>
      </w:r>
      <w:r w:rsidR="00A12E43">
        <w:rPr>
          <w:sz w:val="22"/>
          <w:szCs w:val="22"/>
        </w:rPr>
        <w:t>bank</w:t>
      </w:r>
      <w:r w:rsidRPr="008D0812">
        <w:rPr>
          <w:sz w:val="22"/>
          <w:szCs w:val="22"/>
        </w:rPr>
        <w:t>s</w:t>
      </w:r>
      <w:r w:rsidR="00A12E43">
        <w:rPr>
          <w:sz w:val="22"/>
          <w:szCs w:val="22"/>
        </w:rPr>
        <w:t>’</w:t>
      </w:r>
      <w:r w:rsidRPr="008D0812">
        <w:rPr>
          <w:sz w:val="22"/>
          <w:szCs w:val="22"/>
        </w:rPr>
        <w:t xml:space="preserve"> capital base. </w:t>
      </w:r>
      <w:r w:rsidR="00CF0D14" w:rsidRPr="008D0812">
        <w:rPr>
          <w:sz w:val="22"/>
          <w:szCs w:val="22"/>
        </w:rPr>
        <w:t xml:space="preserve"> The process set forth in the proposed rule for membership termination does not provide sufficient notice and protection for non-compliance.</w:t>
      </w:r>
      <w:r w:rsidR="00A12E43">
        <w:rPr>
          <w:sz w:val="22"/>
          <w:szCs w:val="22"/>
        </w:rPr>
        <w:t xml:space="preserve"> </w:t>
      </w:r>
      <w:r w:rsidR="00CF0D14" w:rsidRPr="008D0812">
        <w:rPr>
          <w:sz w:val="22"/>
          <w:szCs w:val="22"/>
        </w:rPr>
        <w:t xml:space="preserve"> </w:t>
      </w:r>
      <w:r w:rsidR="00A12E43" w:rsidRPr="00A12E43">
        <w:rPr>
          <w:sz w:val="22"/>
          <w:szCs w:val="22"/>
        </w:rPr>
        <w:t>In addition, the FHFA should retain the option for appeals of FHLB denials of membership applications, and should provide for a credit union or community bank to demonstrate an erroneous FHLB membership denial.</w:t>
      </w:r>
    </w:p>
    <w:p w:rsidR="001A5939" w:rsidRPr="008D0812" w:rsidRDefault="001A5939" w:rsidP="00807A5F">
      <w:pPr>
        <w:pStyle w:val="Default"/>
        <w:rPr>
          <w:sz w:val="22"/>
          <w:szCs w:val="22"/>
        </w:rPr>
      </w:pPr>
    </w:p>
    <w:p w:rsidR="00807A5F" w:rsidRPr="008D0812" w:rsidRDefault="00807A5F" w:rsidP="00807A5F">
      <w:pPr>
        <w:pStyle w:val="Default"/>
        <w:rPr>
          <w:sz w:val="22"/>
          <w:szCs w:val="22"/>
          <w:shd w:val="clear" w:color="auto" w:fill="FFFFFF"/>
        </w:rPr>
      </w:pPr>
      <w:r w:rsidRPr="008D0812">
        <w:rPr>
          <w:sz w:val="22"/>
          <w:szCs w:val="22"/>
        </w:rPr>
        <w:t xml:space="preserve">We do not agree that there is any need for a member to hold 1% of their assets in home mortgage loans and 10% of their assets in residential mortgage loans on an ongoing basis.  Currently, the 10% requirement only applies when an applicant first seeks membership in an FHLB.  </w:t>
      </w:r>
      <w:r w:rsidR="00346BF1" w:rsidRPr="008D0812">
        <w:rPr>
          <w:sz w:val="22"/>
          <w:szCs w:val="22"/>
          <w:shd w:val="clear" w:color="auto" w:fill="FFFFFF"/>
        </w:rPr>
        <w:t xml:space="preserve">Although we appreciate the need for FHFA to ensure FHLB members have an ongoing commitment to housing finance, 10% on an annual basis is an overly high bar and will preclude many </w:t>
      </w:r>
      <w:r w:rsidR="001A5939" w:rsidRPr="008D0812">
        <w:rPr>
          <w:sz w:val="22"/>
          <w:szCs w:val="22"/>
          <w:shd w:val="clear" w:color="auto" w:fill="FFFFFF"/>
        </w:rPr>
        <w:t>financial institutions</w:t>
      </w:r>
      <w:r w:rsidR="00346BF1" w:rsidRPr="008D0812">
        <w:rPr>
          <w:sz w:val="22"/>
          <w:szCs w:val="22"/>
          <w:shd w:val="clear" w:color="auto" w:fill="FFFFFF"/>
        </w:rPr>
        <w:t xml:space="preserve"> from FHLB membership.  Further, credit unions</w:t>
      </w:r>
      <w:r w:rsidR="00A12E43">
        <w:rPr>
          <w:sz w:val="22"/>
          <w:szCs w:val="22"/>
          <w:shd w:val="clear" w:color="auto" w:fill="FFFFFF"/>
        </w:rPr>
        <w:t>, community banks, and other</w:t>
      </w:r>
      <w:r w:rsidR="00346BF1" w:rsidRPr="008D0812">
        <w:rPr>
          <w:sz w:val="22"/>
          <w:szCs w:val="22"/>
          <w:shd w:val="clear" w:color="auto" w:fill="FFFFFF"/>
        </w:rPr>
        <w:t xml:space="preserve"> small financial institutions will be hampered by the requirement that financial institutions with less than $1 billion in assets maintain, again on an ongoing basis, at least 1% of their assets in </w:t>
      </w:r>
      <w:r w:rsidR="006E4602" w:rsidRPr="008D0812">
        <w:rPr>
          <w:sz w:val="22"/>
          <w:szCs w:val="22"/>
          <w:shd w:val="clear" w:color="auto" w:fill="FFFFFF"/>
        </w:rPr>
        <w:t xml:space="preserve">home </w:t>
      </w:r>
      <w:r w:rsidR="00346BF1" w:rsidRPr="008D0812">
        <w:rPr>
          <w:sz w:val="22"/>
          <w:szCs w:val="22"/>
          <w:shd w:val="clear" w:color="auto" w:fill="FFFFFF"/>
        </w:rPr>
        <w:t>mortgages.</w:t>
      </w:r>
      <w:r w:rsidR="00346BF1" w:rsidRPr="008D0812">
        <w:rPr>
          <w:sz w:val="22"/>
          <w:szCs w:val="22"/>
        </w:rPr>
        <w:t xml:space="preserve">  </w:t>
      </w:r>
      <w:r w:rsidRPr="008D0812">
        <w:rPr>
          <w:sz w:val="22"/>
          <w:szCs w:val="22"/>
        </w:rPr>
        <w:t xml:space="preserve">These requirements will require our credit union to change its asset portfolio in order to remain compliant.  </w:t>
      </w:r>
    </w:p>
    <w:p w:rsidR="00235A84" w:rsidRPr="008D0812" w:rsidRDefault="00235A84" w:rsidP="00DE139A">
      <w:pPr>
        <w:pStyle w:val="Default"/>
        <w:rPr>
          <w:sz w:val="22"/>
          <w:szCs w:val="22"/>
        </w:rPr>
      </w:pPr>
    </w:p>
    <w:p w:rsidR="00CF0D14" w:rsidRPr="008D0812" w:rsidRDefault="00235A84" w:rsidP="00DE139A">
      <w:pPr>
        <w:pStyle w:val="Default"/>
        <w:rPr>
          <w:color w:val="222222"/>
          <w:sz w:val="22"/>
          <w:szCs w:val="22"/>
        </w:rPr>
      </w:pPr>
      <w:r w:rsidRPr="008D0812">
        <w:rPr>
          <w:sz w:val="22"/>
          <w:szCs w:val="22"/>
        </w:rPr>
        <w:t xml:space="preserve">Qualifying for membership eligibility should not be necessary on an ongoing basis, but only for the initial membership application as is </w:t>
      </w:r>
      <w:r w:rsidR="001A5939" w:rsidRPr="008D0812">
        <w:rPr>
          <w:sz w:val="22"/>
          <w:szCs w:val="22"/>
        </w:rPr>
        <w:t xml:space="preserve">the </w:t>
      </w:r>
      <w:r w:rsidRPr="008D0812">
        <w:rPr>
          <w:sz w:val="22"/>
          <w:szCs w:val="22"/>
        </w:rPr>
        <w:t xml:space="preserve">current and effective practice.  </w:t>
      </w:r>
      <w:r w:rsidRPr="008D0812">
        <w:rPr>
          <w:color w:val="222222"/>
          <w:sz w:val="22"/>
          <w:szCs w:val="22"/>
        </w:rPr>
        <w:t xml:space="preserve">The FHLB system is a critical source of stable, low-cost funding for home mortgage lending, loans for land purchases, and affordable housing.  As a result of an ongoing eligibility test, some </w:t>
      </w:r>
      <w:r w:rsidR="006E4602" w:rsidRPr="008D0812">
        <w:rPr>
          <w:color w:val="222222"/>
          <w:sz w:val="22"/>
          <w:szCs w:val="22"/>
        </w:rPr>
        <w:t xml:space="preserve">credit unions and </w:t>
      </w:r>
      <w:r w:rsidRPr="008D0812">
        <w:rPr>
          <w:color w:val="222222"/>
          <w:sz w:val="22"/>
          <w:szCs w:val="22"/>
        </w:rPr>
        <w:t xml:space="preserve">community banks with a long history of using the FHLB system may be cut off </w:t>
      </w:r>
      <w:r w:rsidR="006E4602" w:rsidRPr="008D0812">
        <w:rPr>
          <w:color w:val="222222"/>
          <w:sz w:val="22"/>
          <w:szCs w:val="22"/>
        </w:rPr>
        <w:t xml:space="preserve">from a vital source of funding </w:t>
      </w:r>
      <w:r w:rsidRPr="008D0812">
        <w:rPr>
          <w:color w:val="222222"/>
          <w:sz w:val="22"/>
          <w:szCs w:val="22"/>
        </w:rPr>
        <w:t>reduc</w:t>
      </w:r>
      <w:r w:rsidR="006E4602" w:rsidRPr="008D0812">
        <w:rPr>
          <w:color w:val="222222"/>
          <w:sz w:val="22"/>
          <w:szCs w:val="22"/>
        </w:rPr>
        <w:t>ing</w:t>
      </w:r>
      <w:r w:rsidRPr="008D0812">
        <w:rPr>
          <w:color w:val="222222"/>
          <w:sz w:val="22"/>
          <w:szCs w:val="22"/>
        </w:rPr>
        <w:t xml:space="preserve"> access to credit in some markets. </w:t>
      </w:r>
      <w:r w:rsidR="00CF0D14" w:rsidRPr="008D0812">
        <w:rPr>
          <w:color w:val="222222"/>
          <w:sz w:val="22"/>
          <w:szCs w:val="22"/>
        </w:rPr>
        <w:t xml:space="preserve"> </w:t>
      </w:r>
      <w:r w:rsidR="00CF0D14" w:rsidRPr="008D0812">
        <w:rPr>
          <w:sz w:val="22"/>
          <w:szCs w:val="22"/>
        </w:rPr>
        <w:t xml:space="preserve">The new proposal will reduce liquidity, </w:t>
      </w:r>
      <w:r w:rsidR="00A12E43">
        <w:rPr>
          <w:sz w:val="22"/>
          <w:szCs w:val="22"/>
        </w:rPr>
        <w:t xml:space="preserve">and will </w:t>
      </w:r>
      <w:r w:rsidR="00CF0D14" w:rsidRPr="008D0812">
        <w:rPr>
          <w:sz w:val="22"/>
          <w:szCs w:val="22"/>
        </w:rPr>
        <w:t xml:space="preserve">make borrowing from the </w:t>
      </w:r>
      <w:r w:rsidR="00A12E43">
        <w:rPr>
          <w:sz w:val="22"/>
          <w:szCs w:val="22"/>
        </w:rPr>
        <w:t>s</w:t>
      </w:r>
      <w:r w:rsidR="00CF0D14" w:rsidRPr="008D0812">
        <w:rPr>
          <w:sz w:val="22"/>
          <w:szCs w:val="22"/>
        </w:rPr>
        <w:t>ystem less certain and more expensive.</w:t>
      </w:r>
    </w:p>
    <w:p w:rsidR="00CF0D14" w:rsidRPr="008D0812" w:rsidRDefault="00CF0D14" w:rsidP="00DE139A">
      <w:pPr>
        <w:pStyle w:val="Default"/>
        <w:rPr>
          <w:sz w:val="22"/>
          <w:szCs w:val="22"/>
        </w:rPr>
      </w:pPr>
    </w:p>
    <w:p w:rsidR="00F80C4D" w:rsidRPr="00A12E43" w:rsidRDefault="00246A5E" w:rsidP="00DE139A">
      <w:pPr>
        <w:rPr>
          <w:color w:val="000000"/>
          <w:sz w:val="22"/>
          <w:szCs w:val="22"/>
        </w:rPr>
      </w:pPr>
      <w:r w:rsidRPr="008D0812">
        <w:rPr>
          <w:color w:val="000000"/>
          <w:sz w:val="22"/>
          <w:szCs w:val="22"/>
        </w:rPr>
        <w:t xml:space="preserve">This regulation will create </w:t>
      </w:r>
      <w:r w:rsidR="001A5939" w:rsidRPr="008D0812">
        <w:rPr>
          <w:color w:val="000000"/>
          <w:sz w:val="22"/>
          <w:szCs w:val="22"/>
        </w:rPr>
        <w:t xml:space="preserve">yet </w:t>
      </w:r>
      <w:r w:rsidRPr="008D0812">
        <w:rPr>
          <w:color w:val="000000"/>
          <w:sz w:val="22"/>
          <w:szCs w:val="22"/>
        </w:rPr>
        <w:t xml:space="preserve">another compliance </w:t>
      </w:r>
      <w:r w:rsidR="001A5939" w:rsidRPr="008D0812">
        <w:rPr>
          <w:color w:val="000000"/>
          <w:sz w:val="22"/>
          <w:szCs w:val="22"/>
        </w:rPr>
        <w:t>requirement</w:t>
      </w:r>
      <w:r w:rsidRPr="008D0812">
        <w:rPr>
          <w:color w:val="000000"/>
          <w:sz w:val="22"/>
          <w:szCs w:val="22"/>
        </w:rPr>
        <w:t xml:space="preserve"> for </w:t>
      </w:r>
      <w:r w:rsidR="001A5939" w:rsidRPr="008D0812">
        <w:rPr>
          <w:color w:val="000000"/>
          <w:sz w:val="22"/>
          <w:szCs w:val="22"/>
        </w:rPr>
        <w:t>financial institutions</w:t>
      </w:r>
      <w:r w:rsidRPr="008D0812">
        <w:rPr>
          <w:color w:val="000000"/>
          <w:sz w:val="22"/>
          <w:szCs w:val="22"/>
        </w:rPr>
        <w:t xml:space="preserve"> </w:t>
      </w:r>
      <w:r w:rsidR="001A5939" w:rsidRPr="008D0812">
        <w:rPr>
          <w:color w:val="000000"/>
          <w:sz w:val="22"/>
          <w:szCs w:val="22"/>
        </w:rPr>
        <w:t>that</w:t>
      </w:r>
      <w:r w:rsidRPr="008D0812">
        <w:rPr>
          <w:color w:val="000000"/>
          <w:sz w:val="22"/>
          <w:szCs w:val="22"/>
        </w:rPr>
        <w:t xml:space="preserve"> will </w:t>
      </w:r>
      <w:r w:rsidR="001A5939" w:rsidRPr="008D0812">
        <w:rPr>
          <w:color w:val="000000"/>
          <w:sz w:val="22"/>
          <w:szCs w:val="22"/>
        </w:rPr>
        <w:t>need</w:t>
      </w:r>
      <w:r w:rsidRPr="008D0812">
        <w:rPr>
          <w:color w:val="000000"/>
          <w:sz w:val="22"/>
          <w:szCs w:val="22"/>
        </w:rPr>
        <w:t xml:space="preserve"> to maintain a </w:t>
      </w:r>
      <w:r w:rsidR="001A5939" w:rsidRPr="008D0812">
        <w:rPr>
          <w:color w:val="000000"/>
          <w:sz w:val="22"/>
          <w:szCs w:val="22"/>
        </w:rPr>
        <w:t xml:space="preserve">very </w:t>
      </w:r>
      <w:r w:rsidRPr="008D0812">
        <w:rPr>
          <w:color w:val="000000"/>
          <w:sz w:val="22"/>
          <w:szCs w:val="22"/>
        </w:rPr>
        <w:t>close watch over their balance sheets to ensure they meet an arbitrary requirement on an ongoing basis</w:t>
      </w:r>
      <w:r w:rsidRPr="00AC25AB">
        <w:rPr>
          <w:color w:val="000000"/>
          <w:sz w:val="22"/>
          <w:szCs w:val="22"/>
        </w:rPr>
        <w:t xml:space="preserve">. </w:t>
      </w:r>
      <w:r w:rsidR="001A5939" w:rsidRPr="00AC25AB">
        <w:rPr>
          <w:color w:val="000000"/>
          <w:sz w:val="22"/>
          <w:szCs w:val="22"/>
        </w:rPr>
        <w:t xml:space="preserve"> </w:t>
      </w:r>
      <w:r w:rsidRPr="00AC25AB">
        <w:rPr>
          <w:color w:val="000000"/>
          <w:sz w:val="22"/>
          <w:szCs w:val="22"/>
        </w:rPr>
        <w:t>FHFA acknowledges that the proposed regulation will put existing FHLB membership for some credit unions in jeopardy</w:t>
      </w:r>
      <w:r w:rsidR="001A5939" w:rsidRPr="00AC25AB">
        <w:rPr>
          <w:color w:val="000000"/>
          <w:sz w:val="22"/>
          <w:szCs w:val="22"/>
        </w:rPr>
        <w:t xml:space="preserve"> because of this unnecessary monitoring requirement</w:t>
      </w:r>
      <w:r w:rsidRPr="00AC25AB">
        <w:rPr>
          <w:color w:val="000000"/>
          <w:sz w:val="22"/>
          <w:szCs w:val="22"/>
        </w:rPr>
        <w:t>.</w:t>
      </w:r>
      <w:r w:rsidR="00A12E43" w:rsidRPr="00AC25AB">
        <w:rPr>
          <w:rStyle w:val="FootnoteReference"/>
          <w:color w:val="000000"/>
          <w:sz w:val="22"/>
          <w:szCs w:val="22"/>
        </w:rPr>
        <w:footnoteReference w:id="2"/>
      </w:r>
      <w:r w:rsidRPr="00AC25AB">
        <w:rPr>
          <w:color w:val="000000"/>
          <w:sz w:val="22"/>
          <w:szCs w:val="22"/>
        </w:rPr>
        <w:t xml:space="preserve"> </w:t>
      </w:r>
      <w:r w:rsidR="00235A84" w:rsidRPr="00AC25AB">
        <w:rPr>
          <w:color w:val="000000"/>
          <w:sz w:val="22"/>
          <w:szCs w:val="22"/>
        </w:rPr>
        <w:t xml:space="preserve"> </w:t>
      </w:r>
      <w:r w:rsidRPr="00AC25AB">
        <w:rPr>
          <w:color w:val="000000"/>
          <w:sz w:val="22"/>
          <w:szCs w:val="22"/>
        </w:rPr>
        <w:t>Loss</w:t>
      </w:r>
      <w:r w:rsidRPr="008D0812">
        <w:rPr>
          <w:color w:val="000000"/>
          <w:sz w:val="22"/>
          <w:szCs w:val="22"/>
        </w:rPr>
        <w:t xml:space="preserve"> of FHLB membership will limit access to the low-cost sources of funding provided by the FHLBs, restricting credit at a time when housing recovery </w:t>
      </w:r>
      <w:r w:rsidR="00235A84" w:rsidRPr="008D0812">
        <w:rPr>
          <w:color w:val="000000"/>
          <w:sz w:val="22"/>
          <w:szCs w:val="22"/>
        </w:rPr>
        <w:t xml:space="preserve">is </w:t>
      </w:r>
      <w:r w:rsidR="001A5939" w:rsidRPr="008D0812">
        <w:rPr>
          <w:color w:val="000000"/>
          <w:sz w:val="22"/>
          <w:szCs w:val="22"/>
        </w:rPr>
        <w:t xml:space="preserve">very </w:t>
      </w:r>
      <w:r w:rsidR="00235A84" w:rsidRPr="008D0812">
        <w:rPr>
          <w:color w:val="000000"/>
          <w:sz w:val="22"/>
          <w:szCs w:val="22"/>
        </w:rPr>
        <w:t>tenuous</w:t>
      </w:r>
      <w:r w:rsidRPr="008D0812">
        <w:rPr>
          <w:color w:val="000000"/>
          <w:sz w:val="22"/>
          <w:szCs w:val="22"/>
        </w:rPr>
        <w:t>.</w:t>
      </w:r>
    </w:p>
    <w:p w:rsidR="00F80C4D" w:rsidRDefault="00F80C4D" w:rsidP="00F80C4D">
      <w:pPr>
        <w:pStyle w:val="PlainText"/>
        <w:rPr>
          <w:rFonts w:ascii="Times New Roman" w:hAnsi="Times New Roman" w:cs="Times New Roman"/>
          <w:szCs w:val="22"/>
        </w:rPr>
      </w:pPr>
    </w:p>
    <w:p w:rsidR="00A12E43" w:rsidRDefault="00A12E43" w:rsidP="00F80C4D">
      <w:pPr>
        <w:pStyle w:val="PlainText"/>
        <w:rPr>
          <w:rFonts w:ascii="Times New Roman" w:hAnsi="Times New Roman" w:cs="Times New Roman"/>
          <w:szCs w:val="22"/>
        </w:rPr>
      </w:pPr>
    </w:p>
    <w:p w:rsidR="00A12E43" w:rsidRDefault="00A12E43" w:rsidP="00F80C4D">
      <w:pPr>
        <w:pStyle w:val="PlainText"/>
        <w:rPr>
          <w:rFonts w:ascii="Times New Roman" w:hAnsi="Times New Roman" w:cs="Times New Roman"/>
          <w:szCs w:val="22"/>
        </w:rPr>
      </w:pPr>
    </w:p>
    <w:p w:rsidR="00A12E43" w:rsidRDefault="00A12E43" w:rsidP="00F80C4D">
      <w:pPr>
        <w:pStyle w:val="PlainText"/>
        <w:rPr>
          <w:rFonts w:ascii="Times New Roman" w:hAnsi="Times New Roman" w:cs="Times New Roman"/>
          <w:szCs w:val="22"/>
        </w:rPr>
      </w:pPr>
    </w:p>
    <w:p w:rsidR="00A12E43" w:rsidRDefault="00A12E43" w:rsidP="00F80C4D">
      <w:pPr>
        <w:pStyle w:val="PlainText"/>
        <w:rPr>
          <w:rFonts w:ascii="Times New Roman" w:hAnsi="Times New Roman" w:cs="Times New Roman"/>
          <w:szCs w:val="22"/>
        </w:rPr>
      </w:pPr>
    </w:p>
    <w:p w:rsidR="00AC25AB" w:rsidRPr="008D0812" w:rsidRDefault="00AC25AB" w:rsidP="00F80C4D">
      <w:pPr>
        <w:pStyle w:val="PlainText"/>
        <w:rPr>
          <w:rFonts w:ascii="Times New Roman" w:hAnsi="Times New Roman" w:cs="Times New Roman"/>
          <w:szCs w:val="22"/>
        </w:rPr>
      </w:pPr>
    </w:p>
    <w:p w:rsidR="00DE139A" w:rsidRPr="008D0812" w:rsidRDefault="00DE139A" w:rsidP="00DE139A">
      <w:pPr>
        <w:rPr>
          <w:rFonts w:eastAsia="Times New Roman"/>
          <w:b/>
          <w:sz w:val="22"/>
          <w:szCs w:val="22"/>
          <w:u w:val="single"/>
        </w:rPr>
      </w:pPr>
      <w:r w:rsidRPr="008D0812">
        <w:rPr>
          <w:rFonts w:eastAsia="Times New Roman"/>
          <w:b/>
          <w:sz w:val="22"/>
          <w:szCs w:val="22"/>
          <w:u w:val="single"/>
        </w:rPr>
        <w:lastRenderedPageBreak/>
        <w:t>Comment Period</w:t>
      </w:r>
    </w:p>
    <w:p w:rsidR="00F14C02" w:rsidRDefault="00B34E9E" w:rsidP="00F14C02">
      <w:pPr>
        <w:pStyle w:val="PlainText"/>
        <w:rPr>
          <w:rFonts w:ascii="Times New Roman" w:hAnsi="Times New Roman" w:cs="Times New Roman"/>
          <w:szCs w:val="22"/>
        </w:rPr>
      </w:pPr>
      <w:r w:rsidRPr="008D0812">
        <w:rPr>
          <w:rFonts w:ascii="Times New Roman" w:hAnsi="Times New Roman" w:cs="Times New Roman"/>
          <w:szCs w:val="22"/>
        </w:rPr>
        <w:t xml:space="preserve">This proposed </w:t>
      </w:r>
      <w:r w:rsidR="00F14C02" w:rsidRPr="008D0812">
        <w:rPr>
          <w:rFonts w:ascii="Times New Roman" w:hAnsi="Times New Roman" w:cs="Times New Roman"/>
          <w:szCs w:val="22"/>
        </w:rPr>
        <w:t xml:space="preserve">regulation </w:t>
      </w:r>
      <w:r w:rsidRPr="008D0812">
        <w:rPr>
          <w:rFonts w:ascii="Times New Roman" w:hAnsi="Times New Roman" w:cs="Times New Roman"/>
          <w:szCs w:val="22"/>
        </w:rPr>
        <w:t>is very complex</w:t>
      </w:r>
      <w:r w:rsidR="001A5939" w:rsidRPr="008D0812">
        <w:rPr>
          <w:rFonts w:ascii="Times New Roman" w:hAnsi="Times New Roman" w:cs="Times New Roman"/>
          <w:szCs w:val="22"/>
        </w:rPr>
        <w:t xml:space="preserve">; </w:t>
      </w:r>
      <w:r w:rsidR="00F14C02" w:rsidRPr="008D0812">
        <w:rPr>
          <w:rFonts w:ascii="Times New Roman" w:hAnsi="Times New Roman" w:cs="Times New Roman"/>
          <w:szCs w:val="22"/>
        </w:rPr>
        <w:t xml:space="preserve">stakeholders </w:t>
      </w:r>
      <w:r w:rsidRPr="008D0812">
        <w:rPr>
          <w:rFonts w:ascii="Times New Roman" w:hAnsi="Times New Roman" w:cs="Times New Roman"/>
          <w:szCs w:val="22"/>
        </w:rPr>
        <w:t xml:space="preserve">need sufficient time </w:t>
      </w:r>
      <w:proofErr w:type="gramStart"/>
      <w:r w:rsidRPr="008D0812">
        <w:rPr>
          <w:rFonts w:ascii="Times New Roman" w:hAnsi="Times New Roman" w:cs="Times New Roman"/>
          <w:szCs w:val="22"/>
        </w:rPr>
        <w:t>after each iteration</w:t>
      </w:r>
      <w:proofErr w:type="gramEnd"/>
      <w:r w:rsidRPr="008D0812">
        <w:rPr>
          <w:rFonts w:ascii="Times New Roman" w:hAnsi="Times New Roman" w:cs="Times New Roman"/>
          <w:szCs w:val="22"/>
        </w:rPr>
        <w:t xml:space="preserve"> of the </w:t>
      </w:r>
      <w:r w:rsidR="00F14C02" w:rsidRPr="008D0812">
        <w:rPr>
          <w:rFonts w:ascii="Times New Roman" w:hAnsi="Times New Roman" w:cs="Times New Roman"/>
          <w:szCs w:val="22"/>
        </w:rPr>
        <w:t xml:space="preserve">rule </w:t>
      </w:r>
      <w:r w:rsidRPr="008D0812">
        <w:rPr>
          <w:rFonts w:ascii="Times New Roman" w:hAnsi="Times New Roman" w:cs="Times New Roman"/>
          <w:szCs w:val="22"/>
        </w:rPr>
        <w:t xml:space="preserve">to assess potential impacts and provide meaningful </w:t>
      </w:r>
      <w:r w:rsidR="001A5939" w:rsidRPr="008D0812">
        <w:rPr>
          <w:rFonts w:ascii="Times New Roman" w:hAnsi="Times New Roman" w:cs="Times New Roman"/>
          <w:szCs w:val="22"/>
        </w:rPr>
        <w:t>comments</w:t>
      </w:r>
      <w:r w:rsidRPr="008D0812">
        <w:rPr>
          <w:rFonts w:ascii="Times New Roman" w:hAnsi="Times New Roman" w:cs="Times New Roman"/>
          <w:szCs w:val="22"/>
        </w:rPr>
        <w:t>.</w:t>
      </w:r>
      <w:r w:rsidR="00F14C02" w:rsidRPr="008D0812">
        <w:rPr>
          <w:rFonts w:ascii="Times New Roman" w:hAnsi="Times New Roman" w:cs="Times New Roman"/>
          <w:szCs w:val="22"/>
        </w:rPr>
        <w:t xml:space="preserve">  T</w:t>
      </w:r>
      <w:r w:rsidR="00DE139A" w:rsidRPr="008D0812">
        <w:rPr>
          <w:rFonts w:ascii="Times New Roman" w:hAnsi="Times New Roman" w:cs="Times New Roman"/>
          <w:szCs w:val="22"/>
        </w:rPr>
        <w:t xml:space="preserve">he esoteric nature of </w:t>
      </w:r>
      <w:r w:rsidR="003C0E7C" w:rsidRPr="008D0812">
        <w:rPr>
          <w:rFonts w:ascii="Times New Roman" w:hAnsi="Times New Roman" w:cs="Times New Roman"/>
          <w:szCs w:val="22"/>
        </w:rPr>
        <w:t xml:space="preserve">the </w:t>
      </w:r>
      <w:r w:rsidR="00F14C02" w:rsidRPr="008D0812">
        <w:rPr>
          <w:rFonts w:ascii="Times New Roman" w:hAnsi="Times New Roman" w:cs="Times New Roman"/>
          <w:szCs w:val="22"/>
        </w:rPr>
        <w:t xml:space="preserve">FHLB </w:t>
      </w:r>
      <w:r w:rsidR="003C0E7C" w:rsidRPr="008D0812">
        <w:rPr>
          <w:rFonts w:ascii="Times New Roman" w:hAnsi="Times New Roman" w:cs="Times New Roman"/>
          <w:szCs w:val="22"/>
        </w:rPr>
        <w:t>System and membership</w:t>
      </w:r>
      <w:r w:rsidR="001A5939" w:rsidRPr="008D0812">
        <w:rPr>
          <w:rFonts w:ascii="Times New Roman" w:hAnsi="Times New Roman" w:cs="Times New Roman"/>
          <w:szCs w:val="22"/>
        </w:rPr>
        <w:t xml:space="preserve"> within it</w:t>
      </w:r>
      <w:r w:rsidR="00DE139A" w:rsidRPr="008D0812">
        <w:rPr>
          <w:rFonts w:ascii="Times New Roman" w:hAnsi="Times New Roman" w:cs="Times New Roman"/>
          <w:szCs w:val="22"/>
        </w:rPr>
        <w:t xml:space="preserve">, coupled with </w:t>
      </w:r>
      <w:r w:rsidR="00F14C02" w:rsidRPr="008D0812">
        <w:rPr>
          <w:rFonts w:ascii="Times New Roman" w:hAnsi="Times New Roman" w:cs="Times New Roman"/>
          <w:szCs w:val="22"/>
        </w:rPr>
        <w:t>a</w:t>
      </w:r>
      <w:r w:rsidR="00DE139A" w:rsidRPr="008D0812">
        <w:rPr>
          <w:rFonts w:ascii="Times New Roman" w:hAnsi="Times New Roman" w:cs="Times New Roman"/>
          <w:szCs w:val="22"/>
        </w:rPr>
        <w:t xml:space="preserve"> slate of other </w:t>
      </w:r>
      <w:r w:rsidR="00F14C02" w:rsidRPr="008D0812">
        <w:rPr>
          <w:rFonts w:ascii="Times New Roman" w:hAnsi="Times New Roman" w:cs="Times New Roman"/>
          <w:szCs w:val="22"/>
        </w:rPr>
        <w:t xml:space="preserve">outstanding </w:t>
      </w:r>
      <w:r w:rsidR="00DE139A" w:rsidRPr="008D0812">
        <w:rPr>
          <w:rFonts w:ascii="Times New Roman" w:hAnsi="Times New Roman" w:cs="Times New Roman"/>
          <w:szCs w:val="22"/>
        </w:rPr>
        <w:t>FHFA proposals, make</w:t>
      </w:r>
      <w:r w:rsidR="003C0E7C" w:rsidRPr="008D0812">
        <w:rPr>
          <w:rFonts w:ascii="Times New Roman" w:hAnsi="Times New Roman" w:cs="Times New Roman"/>
          <w:szCs w:val="22"/>
        </w:rPr>
        <w:t>s</w:t>
      </w:r>
      <w:r w:rsidR="00DE139A" w:rsidRPr="008D0812">
        <w:rPr>
          <w:rFonts w:ascii="Times New Roman" w:hAnsi="Times New Roman" w:cs="Times New Roman"/>
          <w:szCs w:val="22"/>
        </w:rPr>
        <w:t xml:space="preserve"> it difficult to organize effective and informative comments.  </w:t>
      </w:r>
      <w:r w:rsidR="00F14C02" w:rsidRPr="008D0812">
        <w:rPr>
          <w:rFonts w:ascii="Times New Roman" w:hAnsi="Times New Roman" w:cs="Times New Roman"/>
          <w:szCs w:val="22"/>
        </w:rPr>
        <w:t>T</w:t>
      </w:r>
      <w:r w:rsidR="00DE139A" w:rsidRPr="008D0812">
        <w:rPr>
          <w:rFonts w:ascii="Times New Roman" w:hAnsi="Times New Roman" w:cs="Times New Roman"/>
          <w:szCs w:val="22"/>
        </w:rPr>
        <w:t xml:space="preserve">he agency </w:t>
      </w:r>
      <w:r w:rsidR="00F14C02" w:rsidRPr="008D0812">
        <w:rPr>
          <w:rFonts w:ascii="Times New Roman" w:hAnsi="Times New Roman" w:cs="Times New Roman"/>
          <w:szCs w:val="22"/>
        </w:rPr>
        <w:t>should be lauded for</w:t>
      </w:r>
      <w:r w:rsidR="00DE139A" w:rsidRPr="008D0812">
        <w:rPr>
          <w:rFonts w:ascii="Times New Roman" w:hAnsi="Times New Roman" w:cs="Times New Roman"/>
          <w:szCs w:val="22"/>
        </w:rPr>
        <w:t xml:space="preserve"> </w:t>
      </w:r>
      <w:r w:rsidR="00F80C4D" w:rsidRPr="008D0812">
        <w:rPr>
          <w:rFonts w:ascii="Times New Roman" w:hAnsi="Times New Roman" w:cs="Times New Roman"/>
          <w:szCs w:val="22"/>
        </w:rPr>
        <w:t>extend</w:t>
      </w:r>
      <w:r w:rsidR="00DE139A" w:rsidRPr="008D0812">
        <w:rPr>
          <w:rFonts w:ascii="Times New Roman" w:hAnsi="Times New Roman" w:cs="Times New Roman"/>
          <w:szCs w:val="22"/>
        </w:rPr>
        <w:t>ing</w:t>
      </w:r>
      <w:r w:rsidR="00F80C4D" w:rsidRPr="008D0812">
        <w:rPr>
          <w:rFonts w:ascii="Times New Roman" w:hAnsi="Times New Roman" w:cs="Times New Roman"/>
          <w:szCs w:val="22"/>
        </w:rPr>
        <w:t xml:space="preserve"> the </w:t>
      </w:r>
      <w:r w:rsidR="00DE139A" w:rsidRPr="008D0812">
        <w:rPr>
          <w:rFonts w:ascii="Times New Roman" w:hAnsi="Times New Roman" w:cs="Times New Roman"/>
          <w:szCs w:val="22"/>
        </w:rPr>
        <w:t>initial comment period, and</w:t>
      </w:r>
      <w:r w:rsidR="00F14C02" w:rsidRPr="008D0812">
        <w:rPr>
          <w:rFonts w:ascii="Times New Roman" w:hAnsi="Times New Roman" w:cs="Times New Roman"/>
          <w:szCs w:val="22"/>
        </w:rPr>
        <w:t xml:space="preserve"> </w:t>
      </w:r>
      <w:r w:rsidR="003C0E7C" w:rsidRPr="008D0812">
        <w:rPr>
          <w:rFonts w:ascii="Times New Roman" w:hAnsi="Times New Roman" w:cs="Times New Roman"/>
          <w:szCs w:val="22"/>
        </w:rPr>
        <w:t>we</w:t>
      </w:r>
      <w:r w:rsidR="00DE139A" w:rsidRPr="008D0812">
        <w:rPr>
          <w:rFonts w:ascii="Times New Roman" w:hAnsi="Times New Roman" w:cs="Times New Roman"/>
          <w:szCs w:val="22"/>
        </w:rPr>
        <w:t xml:space="preserve"> hope it </w:t>
      </w:r>
      <w:r w:rsidR="00F14C02" w:rsidRPr="008D0812">
        <w:rPr>
          <w:rFonts w:ascii="Times New Roman" w:hAnsi="Times New Roman" w:cs="Times New Roman"/>
          <w:szCs w:val="22"/>
        </w:rPr>
        <w:t>will continue to grant additional time for comments in the future.</w:t>
      </w:r>
    </w:p>
    <w:p w:rsidR="00A12E43" w:rsidRDefault="00A12E43" w:rsidP="00F14C02">
      <w:pPr>
        <w:pStyle w:val="PlainText"/>
        <w:rPr>
          <w:rFonts w:ascii="Times New Roman" w:hAnsi="Times New Roman" w:cs="Times New Roman"/>
          <w:szCs w:val="22"/>
        </w:rPr>
      </w:pPr>
    </w:p>
    <w:p w:rsidR="00A12E43" w:rsidRPr="008D0812" w:rsidRDefault="00A12E43" w:rsidP="00A12E43">
      <w:pPr>
        <w:rPr>
          <w:rFonts w:eastAsia="Times New Roman"/>
          <w:b/>
          <w:sz w:val="22"/>
          <w:szCs w:val="22"/>
          <w:u w:val="single"/>
        </w:rPr>
      </w:pPr>
      <w:r w:rsidRPr="008D0812">
        <w:rPr>
          <w:rFonts w:eastAsia="Times New Roman"/>
          <w:b/>
          <w:sz w:val="22"/>
          <w:szCs w:val="22"/>
          <w:u w:val="single"/>
        </w:rPr>
        <w:t>Complimentary Pending Legislation</w:t>
      </w:r>
    </w:p>
    <w:p w:rsidR="00A12E43" w:rsidRPr="008D0812" w:rsidRDefault="00A12E43" w:rsidP="00A12E43">
      <w:pPr>
        <w:pStyle w:val="PlainText"/>
        <w:rPr>
          <w:rFonts w:ascii="Times New Roman" w:hAnsi="Times New Roman" w:cs="Times New Roman"/>
          <w:szCs w:val="22"/>
        </w:rPr>
      </w:pPr>
      <w:r w:rsidRPr="00A12E43">
        <w:rPr>
          <w:rFonts w:ascii="Times New Roman" w:eastAsia="Times New Roman" w:hAnsi="Times New Roman" w:cs="Times New Roman"/>
          <w:b/>
          <w:szCs w:val="22"/>
        </w:rPr>
        <w:t>We continue to work with our trade associations and lawmakers on legislation to permit privately insured credit unions to join the FHLB System</w:t>
      </w:r>
      <w:r w:rsidRPr="008D0812">
        <w:rPr>
          <w:rFonts w:ascii="Times New Roman" w:eastAsia="Times New Roman" w:hAnsi="Times New Roman" w:cs="Times New Roman"/>
          <w:szCs w:val="22"/>
        </w:rPr>
        <w:t xml:space="preserve">.  </w:t>
      </w:r>
      <w:r w:rsidRPr="008D0812">
        <w:rPr>
          <w:rFonts w:ascii="Times New Roman" w:hAnsi="Times New Roman" w:cs="Times New Roman"/>
          <w:color w:val="000000"/>
          <w:szCs w:val="22"/>
          <w:shd w:val="clear" w:color="auto" w:fill="FFFFFF"/>
        </w:rPr>
        <w:t xml:space="preserve">The </w:t>
      </w:r>
      <w:r>
        <w:rPr>
          <w:color w:val="000000"/>
          <w:szCs w:val="22"/>
          <w:shd w:val="clear" w:color="auto" w:fill="FFFFFF"/>
        </w:rPr>
        <w:t xml:space="preserve">proposed </w:t>
      </w:r>
      <w:r w:rsidRPr="008D0812">
        <w:rPr>
          <w:rFonts w:ascii="Times New Roman" w:hAnsi="Times New Roman" w:cs="Times New Roman"/>
          <w:color w:val="000000"/>
          <w:szCs w:val="22"/>
          <w:shd w:val="clear" w:color="auto" w:fill="FFFFFF"/>
        </w:rPr>
        <w:t xml:space="preserve">rule does not expand FHLB membership to privately insured credit unions, which would require Congressional action.  Under current law, privately insured credit unions are generally prohibited from joining the FHLB </w:t>
      </w:r>
      <w:r w:rsidRPr="008D0812">
        <w:rPr>
          <w:rFonts w:ascii="Times New Roman" w:eastAsia="Times New Roman" w:hAnsi="Times New Roman" w:cs="Times New Roman"/>
          <w:szCs w:val="22"/>
        </w:rPr>
        <w:t>System</w:t>
      </w:r>
      <w:r w:rsidRPr="008D0812">
        <w:rPr>
          <w:rFonts w:ascii="Times New Roman" w:hAnsi="Times New Roman" w:cs="Times New Roman"/>
          <w:color w:val="000000"/>
          <w:szCs w:val="22"/>
          <w:shd w:val="clear" w:color="auto" w:fill="FFFFFF"/>
        </w:rPr>
        <w:t xml:space="preserve"> unless they are designated as community development financial institutions.  We support</w:t>
      </w:r>
      <w:r w:rsidRPr="008D0812">
        <w:rPr>
          <w:rFonts w:ascii="Times New Roman" w:hAnsi="Times New Roman" w:cs="Times New Roman"/>
          <w:color w:val="000000"/>
          <w:szCs w:val="22"/>
        </w:rPr>
        <w:t xml:space="preserve"> </w:t>
      </w:r>
      <w:r w:rsidRPr="008D0812">
        <w:rPr>
          <w:rFonts w:ascii="Times New Roman" w:hAnsi="Times New Roman" w:cs="Times New Roman"/>
          <w:color w:val="000000"/>
          <w:szCs w:val="22"/>
          <w:shd w:val="clear" w:color="auto" w:fill="FFFFFF"/>
        </w:rPr>
        <w:t xml:space="preserve">H.R. 3584, </w:t>
      </w:r>
      <w:r w:rsidRPr="008D0812">
        <w:rPr>
          <w:rFonts w:ascii="Times New Roman" w:hAnsi="Times New Roman" w:cs="Times New Roman"/>
          <w:i/>
          <w:color w:val="000000"/>
          <w:szCs w:val="22"/>
          <w:shd w:val="clear" w:color="auto" w:fill="FFFFFF"/>
        </w:rPr>
        <w:t>Capital Access for Small Community Financial Institutions Act</w:t>
      </w:r>
      <w:r w:rsidRPr="008D0812">
        <w:rPr>
          <w:rFonts w:ascii="Times New Roman" w:hAnsi="Times New Roman" w:cs="Times New Roman"/>
          <w:color w:val="000000"/>
          <w:szCs w:val="22"/>
          <w:shd w:val="clear" w:color="auto" w:fill="FFFFFF"/>
        </w:rPr>
        <w:t>, which would make 132 small, privately insured credit unions eligible for FHLB membership.  H.R. 3584 was passed by the House May 6, 2014, and we will continue to advocate for the Senate Banking Committee to take up the bill in 2015.</w:t>
      </w:r>
    </w:p>
    <w:p w:rsidR="00F30D3A" w:rsidRPr="008D0812" w:rsidRDefault="00F30D3A" w:rsidP="00DE139A">
      <w:pPr>
        <w:rPr>
          <w:sz w:val="22"/>
          <w:szCs w:val="22"/>
        </w:rPr>
      </w:pPr>
    </w:p>
    <w:p w:rsidR="00F30D3A" w:rsidRPr="008D0812" w:rsidRDefault="00F30D3A" w:rsidP="00DE139A">
      <w:pPr>
        <w:rPr>
          <w:b/>
          <w:sz w:val="22"/>
          <w:szCs w:val="22"/>
          <w:u w:val="single"/>
        </w:rPr>
      </w:pPr>
      <w:r w:rsidRPr="008D0812">
        <w:rPr>
          <w:b/>
          <w:sz w:val="22"/>
          <w:szCs w:val="22"/>
          <w:u w:val="single"/>
        </w:rPr>
        <w:t>Conclusion</w:t>
      </w:r>
    </w:p>
    <w:p w:rsidR="001A5939" w:rsidRPr="008D0812" w:rsidRDefault="00F14C02">
      <w:pPr>
        <w:rPr>
          <w:sz w:val="22"/>
          <w:szCs w:val="22"/>
        </w:rPr>
      </w:pPr>
      <w:r w:rsidRPr="008D0812">
        <w:rPr>
          <w:sz w:val="22"/>
          <w:szCs w:val="22"/>
        </w:rPr>
        <w:t>Financial regulators, including ours—the National Credit Union Administration—have placed significant emphasis on the ability of financial institutions to acc</w:t>
      </w:r>
      <w:r w:rsidR="00A12E43">
        <w:rPr>
          <w:sz w:val="22"/>
          <w:szCs w:val="22"/>
        </w:rPr>
        <w:t>ess and maintain that access to</w:t>
      </w:r>
      <w:r w:rsidRPr="008D0812">
        <w:rPr>
          <w:sz w:val="22"/>
          <w:szCs w:val="22"/>
        </w:rPr>
        <w:t xml:space="preserve"> liquidity.  The FHLB </w:t>
      </w:r>
      <w:r w:rsidR="00A12E43">
        <w:rPr>
          <w:sz w:val="22"/>
          <w:szCs w:val="22"/>
        </w:rPr>
        <w:t>system is</w:t>
      </w:r>
      <w:r w:rsidRPr="008D0812">
        <w:rPr>
          <w:sz w:val="22"/>
          <w:szCs w:val="22"/>
        </w:rPr>
        <w:t xml:space="preserve"> </w:t>
      </w:r>
      <w:r w:rsidR="001A5939" w:rsidRPr="008D0812">
        <w:rPr>
          <w:sz w:val="22"/>
          <w:szCs w:val="22"/>
        </w:rPr>
        <w:t xml:space="preserve">the most important </w:t>
      </w:r>
      <w:r w:rsidRPr="008D0812">
        <w:rPr>
          <w:sz w:val="22"/>
          <w:szCs w:val="22"/>
        </w:rPr>
        <w:t xml:space="preserve">source of </w:t>
      </w:r>
      <w:r w:rsidR="001A5939" w:rsidRPr="008D0812">
        <w:rPr>
          <w:sz w:val="22"/>
          <w:szCs w:val="22"/>
        </w:rPr>
        <w:t xml:space="preserve">this required </w:t>
      </w:r>
      <w:r w:rsidRPr="008D0812">
        <w:rPr>
          <w:sz w:val="22"/>
          <w:szCs w:val="22"/>
        </w:rPr>
        <w:t>liquidity.  Needlessly restricting membership to the FHLB</w:t>
      </w:r>
      <w:r w:rsidR="001A5939" w:rsidRPr="008D0812">
        <w:rPr>
          <w:sz w:val="22"/>
          <w:szCs w:val="22"/>
        </w:rPr>
        <w:t>s</w:t>
      </w:r>
      <w:r w:rsidRPr="008D0812">
        <w:rPr>
          <w:sz w:val="22"/>
          <w:szCs w:val="22"/>
        </w:rPr>
        <w:t xml:space="preserve"> </w:t>
      </w:r>
      <w:r w:rsidR="001A5939" w:rsidRPr="008D0812">
        <w:rPr>
          <w:sz w:val="22"/>
          <w:szCs w:val="22"/>
        </w:rPr>
        <w:t xml:space="preserve">is counter-intuitive, counter-productive, and will </w:t>
      </w:r>
      <w:r w:rsidRPr="008D0812">
        <w:rPr>
          <w:sz w:val="22"/>
          <w:szCs w:val="22"/>
        </w:rPr>
        <w:t xml:space="preserve">harm the </w:t>
      </w:r>
      <w:r w:rsidR="001A5939" w:rsidRPr="008D0812">
        <w:rPr>
          <w:sz w:val="22"/>
          <w:szCs w:val="22"/>
        </w:rPr>
        <w:t xml:space="preserve">stability of the </w:t>
      </w:r>
      <w:r w:rsidR="00246524" w:rsidRPr="008D0812">
        <w:rPr>
          <w:sz w:val="22"/>
          <w:szCs w:val="22"/>
        </w:rPr>
        <w:t xml:space="preserve">housing </w:t>
      </w:r>
      <w:r w:rsidRPr="008D0812">
        <w:rPr>
          <w:sz w:val="22"/>
          <w:szCs w:val="22"/>
        </w:rPr>
        <w:t>financi</w:t>
      </w:r>
      <w:r w:rsidR="00246524" w:rsidRPr="008D0812">
        <w:rPr>
          <w:sz w:val="22"/>
          <w:szCs w:val="22"/>
        </w:rPr>
        <w:t>ng</w:t>
      </w:r>
      <w:r w:rsidRPr="008D0812">
        <w:rPr>
          <w:sz w:val="22"/>
          <w:szCs w:val="22"/>
        </w:rPr>
        <w:t xml:space="preserve"> system.</w:t>
      </w:r>
      <w:r w:rsidR="003C0E7C" w:rsidRPr="008D0812">
        <w:rPr>
          <w:sz w:val="22"/>
          <w:szCs w:val="22"/>
        </w:rPr>
        <w:t xml:space="preserve">  </w:t>
      </w:r>
    </w:p>
    <w:p w:rsidR="001A5939" w:rsidRPr="008D0812" w:rsidRDefault="001A5939">
      <w:pPr>
        <w:rPr>
          <w:sz w:val="22"/>
          <w:szCs w:val="22"/>
        </w:rPr>
      </w:pPr>
    </w:p>
    <w:p w:rsidR="00F30D3A" w:rsidRPr="008D0812" w:rsidRDefault="00F30D3A">
      <w:pPr>
        <w:rPr>
          <w:sz w:val="22"/>
          <w:szCs w:val="22"/>
        </w:rPr>
      </w:pPr>
      <w:r w:rsidRPr="008D0812">
        <w:rPr>
          <w:sz w:val="22"/>
          <w:szCs w:val="22"/>
        </w:rPr>
        <w:t>We appreciate th</w:t>
      </w:r>
      <w:r w:rsidR="001A5939" w:rsidRPr="008D0812">
        <w:rPr>
          <w:sz w:val="22"/>
          <w:szCs w:val="22"/>
        </w:rPr>
        <w:t>is</w:t>
      </w:r>
      <w:r w:rsidRPr="008D0812">
        <w:rPr>
          <w:sz w:val="22"/>
          <w:szCs w:val="22"/>
        </w:rPr>
        <w:t xml:space="preserve"> opportunity to comment and look forward to working with the </w:t>
      </w:r>
      <w:r w:rsidR="001A5939" w:rsidRPr="008D0812">
        <w:rPr>
          <w:sz w:val="22"/>
          <w:szCs w:val="22"/>
        </w:rPr>
        <w:t>FHFA</w:t>
      </w:r>
      <w:r w:rsidRPr="008D0812">
        <w:rPr>
          <w:sz w:val="22"/>
          <w:szCs w:val="22"/>
        </w:rPr>
        <w:t xml:space="preserve"> on the next iteration of its rule.  If you have any further questions, please contact me directly at </w:t>
      </w:r>
      <w:hyperlink r:id="rId12" w:history="1">
        <w:r w:rsidRPr="008D0812">
          <w:rPr>
            <w:rStyle w:val="Hyperlink"/>
            <w:sz w:val="22"/>
            <w:szCs w:val="22"/>
          </w:rPr>
          <w:t>bobt1@denalifcu.com</w:t>
        </w:r>
      </w:hyperlink>
      <w:r w:rsidRPr="008D0812">
        <w:rPr>
          <w:sz w:val="22"/>
          <w:szCs w:val="22"/>
        </w:rPr>
        <w:t xml:space="preserve"> or at (907) 257-9408.</w:t>
      </w:r>
    </w:p>
    <w:p w:rsidR="00F30D3A" w:rsidRPr="008D0812" w:rsidRDefault="00F30D3A">
      <w:pPr>
        <w:rPr>
          <w:sz w:val="22"/>
          <w:szCs w:val="22"/>
        </w:rPr>
      </w:pPr>
    </w:p>
    <w:p w:rsidR="00DE139A" w:rsidRPr="008D0812" w:rsidRDefault="00F30D3A">
      <w:pPr>
        <w:rPr>
          <w:sz w:val="22"/>
          <w:szCs w:val="22"/>
        </w:rPr>
      </w:pPr>
      <w:r w:rsidRPr="008D0812">
        <w:rPr>
          <w:sz w:val="22"/>
          <w:szCs w:val="22"/>
        </w:rPr>
        <w:t xml:space="preserve">Sincerely, </w:t>
      </w:r>
    </w:p>
    <w:p w:rsidR="00F30D3A" w:rsidRPr="008D0812" w:rsidRDefault="00F30D3A">
      <w:pPr>
        <w:rPr>
          <w:sz w:val="22"/>
          <w:szCs w:val="22"/>
        </w:rPr>
      </w:pPr>
      <w:r w:rsidRPr="008D0812">
        <w:rPr>
          <w:sz w:val="22"/>
          <w:szCs w:val="22"/>
        </w:rPr>
        <w:t xml:space="preserve">Robert </w:t>
      </w:r>
      <w:r w:rsidR="00E748D4">
        <w:rPr>
          <w:sz w:val="22"/>
          <w:szCs w:val="22"/>
        </w:rPr>
        <w:t xml:space="preserve">(Bob) </w:t>
      </w:r>
      <w:r w:rsidRPr="008D0812">
        <w:rPr>
          <w:sz w:val="22"/>
          <w:szCs w:val="22"/>
        </w:rPr>
        <w:t>M. Teachworth</w:t>
      </w:r>
    </w:p>
    <w:p w:rsidR="00F30D3A" w:rsidRPr="008D0812" w:rsidRDefault="00F30D3A">
      <w:pPr>
        <w:rPr>
          <w:sz w:val="22"/>
          <w:szCs w:val="22"/>
        </w:rPr>
      </w:pPr>
      <w:proofErr w:type="gramStart"/>
      <w:r w:rsidRPr="008D0812">
        <w:rPr>
          <w:sz w:val="22"/>
          <w:szCs w:val="22"/>
        </w:rPr>
        <w:t>President &amp;</w:t>
      </w:r>
      <w:proofErr w:type="gramEnd"/>
      <w:r w:rsidRPr="008D0812">
        <w:rPr>
          <w:sz w:val="22"/>
          <w:szCs w:val="22"/>
        </w:rPr>
        <w:t xml:space="preserve"> CEO</w:t>
      </w:r>
    </w:p>
    <w:p w:rsidR="00F30D3A" w:rsidRPr="008D0812" w:rsidRDefault="00F30D3A">
      <w:pPr>
        <w:rPr>
          <w:sz w:val="22"/>
          <w:szCs w:val="22"/>
        </w:rPr>
      </w:pPr>
      <w:r w:rsidRPr="008D0812">
        <w:rPr>
          <w:sz w:val="22"/>
          <w:szCs w:val="22"/>
        </w:rPr>
        <w:t>Denali Alaska</w:t>
      </w:r>
      <w:r w:rsidR="001A5939" w:rsidRPr="008D0812">
        <w:rPr>
          <w:sz w:val="22"/>
          <w:szCs w:val="22"/>
        </w:rPr>
        <w:t>n</w:t>
      </w:r>
      <w:r w:rsidRPr="008D0812">
        <w:rPr>
          <w:sz w:val="22"/>
          <w:szCs w:val="22"/>
        </w:rPr>
        <w:t xml:space="preserve"> Federal Credit Union</w:t>
      </w:r>
      <w:bookmarkStart w:id="0" w:name="_GoBack"/>
      <w:bookmarkEnd w:id="0"/>
    </w:p>
    <w:sectPr w:rsidR="00F30D3A" w:rsidRPr="008D08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13" w:rsidRDefault="003E6F13" w:rsidP="003E6F13">
      <w:r>
        <w:separator/>
      </w:r>
    </w:p>
  </w:endnote>
  <w:endnote w:type="continuationSeparator" w:id="0">
    <w:p w:rsidR="003E6F13" w:rsidRDefault="003E6F13" w:rsidP="003E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441196541"/>
      <w:docPartObj>
        <w:docPartGallery w:val="Page Numbers (Bottom of Page)"/>
        <w:docPartUnique/>
      </w:docPartObj>
    </w:sdtPr>
    <w:sdtEndPr/>
    <w:sdtContent>
      <w:p w:rsidR="00AC25AB" w:rsidRPr="00AC25AB" w:rsidRDefault="00AC25AB" w:rsidP="00AC25AB">
        <w:pPr>
          <w:pStyle w:val="Footer"/>
          <w:rPr>
            <w:sz w:val="22"/>
            <w:szCs w:val="22"/>
          </w:rPr>
        </w:pPr>
        <w:r w:rsidRPr="008D0812">
          <w:rPr>
            <w:rFonts w:eastAsia="Times New Roman"/>
            <w:sz w:val="22"/>
            <w:szCs w:val="22"/>
          </w:rPr>
          <w:t>Comments/RIN 2590–AA39</w:t>
        </w:r>
        <w:r>
          <w:rPr>
            <w:rFonts w:eastAsia="Times New Roman"/>
            <w:sz w:val="22"/>
            <w:szCs w:val="22"/>
          </w:rPr>
          <w:tab/>
        </w:r>
        <w:r>
          <w:rPr>
            <w:rFonts w:eastAsia="Times New Roman"/>
            <w:sz w:val="22"/>
            <w:szCs w:val="22"/>
          </w:rPr>
          <w:tab/>
        </w:r>
        <w:r w:rsidRPr="00AC25AB">
          <w:rPr>
            <w:sz w:val="22"/>
            <w:szCs w:val="22"/>
          </w:rPr>
          <w:t xml:space="preserve">Page | </w:t>
        </w:r>
        <w:r w:rsidRPr="00AC25AB">
          <w:rPr>
            <w:sz w:val="22"/>
            <w:szCs w:val="22"/>
          </w:rPr>
          <w:fldChar w:fldCharType="begin"/>
        </w:r>
        <w:r w:rsidRPr="00AC25AB">
          <w:rPr>
            <w:sz w:val="22"/>
            <w:szCs w:val="22"/>
          </w:rPr>
          <w:instrText xml:space="preserve"> PAGE   \* MERGEFORMAT </w:instrText>
        </w:r>
        <w:r w:rsidRPr="00AC25AB">
          <w:rPr>
            <w:sz w:val="22"/>
            <w:szCs w:val="22"/>
          </w:rPr>
          <w:fldChar w:fldCharType="separate"/>
        </w:r>
        <w:r w:rsidR="00E748D4">
          <w:rPr>
            <w:noProof/>
            <w:sz w:val="22"/>
            <w:szCs w:val="22"/>
          </w:rPr>
          <w:t>3</w:t>
        </w:r>
        <w:r w:rsidRPr="00AC25AB">
          <w:rPr>
            <w:noProof/>
            <w:sz w:val="22"/>
            <w:szCs w:val="22"/>
          </w:rPr>
          <w:fldChar w:fldCharType="end"/>
        </w:r>
        <w:r w:rsidRPr="00AC25AB">
          <w:rPr>
            <w:sz w:val="22"/>
            <w:szCs w:val="22"/>
          </w:rPr>
          <w:t xml:space="preserve"> </w:t>
        </w:r>
      </w:p>
    </w:sdtContent>
  </w:sdt>
  <w:p w:rsidR="00BE6B37" w:rsidRPr="00AC25AB" w:rsidRDefault="00BE6B37">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13" w:rsidRDefault="003E6F13" w:rsidP="003E6F13">
      <w:r>
        <w:separator/>
      </w:r>
    </w:p>
  </w:footnote>
  <w:footnote w:type="continuationSeparator" w:id="0">
    <w:p w:rsidR="003E6F13" w:rsidRDefault="003E6F13" w:rsidP="003E6F13">
      <w:r>
        <w:continuationSeparator/>
      </w:r>
    </w:p>
  </w:footnote>
  <w:footnote w:id="1">
    <w:p w:rsidR="00CF0D14" w:rsidRPr="00807A5F" w:rsidRDefault="00CF0D14" w:rsidP="00CF0D14">
      <w:pPr>
        <w:rPr>
          <w:color w:val="000000"/>
          <w:sz w:val="20"/>
          <w:szCs w:val="20"/>
        </w:rPr>
      </w:pPr>
      <w:r w:rsidRPr="009B4C99">
        <w:rPr>
          <w:rStyle w:val="FootnoteReference"/>
          <w:sz w:val="20"/>
          <w:szCs w:val="20"/>
        </w:rPr>
        <w:footnoteRef/>
      </w:r>
      <w:r w:rsidRPr="009B4C99">
        <w:rPr>
          <w:sz w:val="20"/>
          <w:szCs w:val="20"/>
        </w:rPr>
        <w:t xml:space="preserve"> </w:t>
      </w:r>
      <w:proofErr w:type="gramStart"/>
      <w:r w:rsidRPr="009B4C99">
        <w:rPr>
          <w:sz w:val="20"/>
          <w:szCs w:val="20"/>
        </w:rPr>
        <w:t>NAFCU letter to FHLB, September 4, 2014.</w:t>
      </w:r>
      <w:proofErr w:type="gramEnd"/>
      <w:r w:rsidRPr="009B4C99">
        <w:rPr>
          <w:sz w:val="20"/>
          <w:szCs w:val="20"/>
        </w:rPr>
        <w:t xml:space="preserve">  </w:t>
      </w:r>
      <w:r w:rsidR="00595E9A" w:rsidRPr="00595E9A">
        <w:rPr>
          <w:color w:val="000000"/>
          <w:sz w:val="20"/>
          <w:szCs w:val="20"/>
        </w:rPr>
        <w:t xml:space="preserve">As of the end </w:t>
      </w:r>
      <w:r w:rsidR="00595E9A">
        <w:rPr>
          <w:color w:val="000000"/>
          <w:sz w:val="20"/>
          <w:szCs w:val="20"/>
        </w:rPr>
        <w:t>of the second quarter of 2014, 19% of all credit unions were members of an FLHB.  According to the FHFA</w:t>
      </w:r>
      <w:r w:rsidR="00595E9A" w:rsidRPr="00807A5F">
        <w:rPr>
          <w:color w:val="000000"/>
          <w:sz w:val="20"/>
          <w:szCs w:val="20"/>
        </w:rPr>
        <w:t xml:space="preserve"> 1,204 credit uni</w:t>
      </w:r>
      <w:r w:rsidR="00595E9A">
        <w:rPr>
          <w:color w:val="000000"/>
          <w:sz w:val="20"/>
          <w:szCs w:val="20"/>
        </w:rPr>
        <w:t xml:space="preserve">ons are currently FHLB members.  </w:t>
      </w:r>
    </w:p>
  </w:footnote>
  <w:footnote w:id="2">
    <w:p w:rsidR="00A12E43" w:rsidRPr="00AC25AB" w:rsidRDefault="00A12E43">
      <w:pPr>
        <w:pStyle w:val="FootnoteText"/>
      </w:pPr>
      <w:r w:rsidRPr="00AC25AB">
        <w:rPr>
          <w:rStyle w:val="FootnoteReference"/>
        </w:rPr>
        <w:footnoteRef/>
      </w:r>
      <w:r w:rsidRPr="00AC25AB">
        <w:t xml:space="preserve"> </w:t>
      </w:r>
      <w:proofErr w:type="gramStart"/>
      <w:r w:rsidR="00AC25AB">
        <w:t>T</w:t>
      </w:r>
      <w:r w:rsidR="00AC25AB" w:rsidRPr="00AC25AB">
        <w:t>estimony before the Senate Banking, Housing, and Urban Affairs</w:t>
      </w:r>
      <w:r w:rsidR="00AC25AB">
        <w:t xml:space="preserve"> Committee Hearing (</w:t>
      </w:r>
      <w:r w:rsidR="00AC25AB" w:rsidRPr="00AC25AB">
        <w:t>September</w:t>
      </w:r>
      <w:r w:rsidR="00AC25AB">
        <w:t xml:space="preserve"> 2014).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37" w:rsidRDefault="00BE6B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16A2"/>
    <w:multiLevelType w:val="hybridMultilevel"/>
    <w:tmpl w:val="D39A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825EB"/>
    <w:multiLevelType w:val="hybridMultilevel"/>
    <w:tmpl w:val="B6BC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DF2248"/>
    <w:multiLevelType w:val="hybridMultilevel"/>
    <w:tmpl w:val="CC6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AC22A3"/>
    <w:multiLevelType w:val="hybridMultilevel"/>
    <w:tmpl w:val="1AF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4D"/>
    <w:rsid w:val="00030D00"/>
    <w:rsid w:val="000E7E6D"/>
    <w:rsid w:val="00161CC5"/>
    <w:rsid w:val="001A5939"/>
    <w:rsid w:val="00235A84"/>
    <w:rsid w:val="00246524"/>
    <w:rsid w:val="00246A5E"/>
    <w:rsid w:val="00346BF1"/>
    <w:rsid w:val="00356C17"/>
    <w:rsid w:val="003C0E7C"/>
    <w:rsid w:val="003E6F13"/>
    <w:rsid w:val="003F1F2B"/>
    <w:rsid w:val="003F7E4B"/>
    <w:rsid w:val="004B6BFB"/>
    <w:rsid w:val="004D0996"/>
    <w:rsid w:val="00595E9A"/>
    <w:rsid w:val="006E4602"/>
    <w:rsid w:val="007E0633"/>
    <w:rsid w:val="00807A5F"/>
    <w:rsid w:val="008D0812"/>
    <w:rsid w:val="00980483"/>
    <w:rsid w:val="009B4C99"/>
    <w:rsid w:val="00A12E43"/>
    <w:rsid w:val="00AC25AB"/>
    <w:rsid w:val="00B34E9E"/>
    <w:rsid w:val="00B43E29"/>
    <w:rsid w:val="00BE6B37"/>
    <w:rsid w:val="00CF0D14"/>
    <w:rsid w:val="00D151EB"/>
    <w:rsid w:val="00DE139A"/>
    <w:rsid w:val="00E748D4"/>
    <w:rsid w:val="00E74900"/>
    <w:rsid w:val="00EE4B26"/>
    <w:rsid w:val="00F14C02"/>
    <w:rsid w:val="00F30D3A"/>
    <w:rsid w:val="00F8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4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C4D"/>
    <w:rPr>
      <w:color w:val="0000FF"/>
      <w:u w:val="single"/>
    </w:rPr>
  </w:style>
  <w:style w:type="paragraph" w:styleId="PlainText">
    <w:name w:val="Plain Text"/>
    <w:basedOn w:val="Normal"/>
    <w:link w:val="PlainTextChar"/>
    <w:uiPriority w:val="99"/>
    <w:unhideWhenUsed/>
    <w:rsid w:val="00F80C4D"/>
    <w:rPr>
      <w:rFonts w:ascii="Calibri" w:hAnsi="Calibri" w:cstheme="minorBidi"/>
      <w:sz w:val="22"/>
      <w:szCs w:val="21"/>
    </w:rPr>
  </w:style>
  <w:style w:type="character" w:customStyle="1" w:styleId="PlainTextChar">
    <w:name w:val="Plain Text Char"/>
    <w:basedOn w:val="DefaultParagraphFont"/>
    <w:link w:val="PlainText"/>
    <w:uiPriority w:val="99"/>
    <w:rsid w:val="00F80C4D"/>
    <w:rPr>
      <w:rFonts w:ascii="Calibri" w:hAnsi="Calibri"/>
      <w:szCs w:val="21"/>
    </w:rPr>
  </w:style>
  <w:style w:type="paragraph" w:styleId="FootnoteText">
    <w:name w:val="footnote text"/>
    <w:basedOn w:val="Normal"/>
    <w:link w:val="FootnoteTextChar"/>
    <w:uiPriority w:val="99"/>
    <w:semiHidden/>
    <w:unhideWhenUsed/>
    <w:rsid w:val="003E6F13"/>
    <w:rPr>
      <w:sz w:val="20"/>
      <w:szCs w:val="20"/>
    </w:rPr>
  </w:style>
  <w:style w:type="character" w:customStyle="1" w:styleId="FootnoteTextChar">
    <w:name w:val="Footnote Text Char"/>
    <w:basedOn w:val="DefaultParagraphFont"/>
    <w:link w:val="FootnoteText"/>
    <w:uiPriority w:val="99"/>
    <w:semiHidden/>
    <w:rsid w:val="003E6F1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E6F13"/>
    <w:rPr>
      <w:vertAlign w:val="superscript"/>
    </w:rPr>
  </w:style>
  <w:style w:type="paragraph" w:customStyle="1" w:styleId="Default">
    <w:name w:val="Default"/>
    <w:rsid w:val="00BE6B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E6B37"/>
    <w:pPr>
      <w:tabs>
        <w:tab w:val="center" w:pos="4680"/>
        <w:tab w:val="right" w:pos="9360"/>
      </w:tabs>
    </w:pPr>
  </w:style>
  <w:style w:type="character" w:customStyle="1" w:styleId="HeaderChar">
    <w:name w:val="Header Char"/>
    <w:basedOn w:val="DefaultParagraphFont"/>
    <w:link w:val="Header"/>
    <w:uiPriority w:val="99"/>
    <w:rsid w:val="00BE6B37"/>
    <w:rPr>
      <w:rFonts w:ascii="Times New Roman" w:hAnsi="Times New Roman" w:cs="Times New Roman"/>
      <w:sz w:val="24"/>
      <w:szCs w:val="24"/>
    </w:rPr>
  </w:style>
  <w:style w:type="paragraph" w:styleId="Footer">
    <w:name w:val="footer"/>
    <w:basedOn w:val="Normal"/>
    <w:link w:val="FooterChar"/>
    <w:uiPriority w:val="99"/>
    <w:unhideWhenUsed/>
    <w:rsid w:val="00BE6B37"/>
    <w:pPr>
      <w:tabs>
        <w:tab w:val="center" w:pos="4680"/>
        <w:tab w:val="right" w:pos="9360"/>
      </w:tabs>
    </w:pPr>
  </w:style>
  <w:style w:type="character" w:customStyle="1" w:styleId="FooterChar">
    <w:name w:val="Footer Char"/>
    <w:basedOn w:val="DefaultParagraphFont"/>
    <w:link w:val="Footer"/>
    <w:uiPriority w:val="99"/>
    <w:rsid w:val="00BE6B3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151EB"/>
    <w:rPr>
      <w:color w:val="800080" w:themeColor="followedHyperlink"/>
      <w:u w:val="single"/>
    </w:rPr>
  </w:style>
  <w:style w:type="paragraph" w:styleId="NormalWeb">
    <w:name w:val="Normal (Web)"/>
    <w:basedOn w:val="Normal"/>
    <w:uiPriority w:val="99"/>
    <w:semiHidden/>
    <w:unhideWhenUsed/>
    <w:rsid w:val="00161CC5"/>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3C0E7C"/>
    <w:rPr>
      <w:sz w:val="16"/>
      <w:szCs w:val="16"/>
    </w:rPr>
  </w:style>
  <w:style w:type="paragraph" w:styleId="CommentText">
    <w:name w:val="annotation text"/>
    <w:basedOn w:val="Normal"/>
    <w:link w:val="CommentTextChar"/>
    <w:uiPriority w:val="99"/>
    <w:semiHidden/>
    <w:unhideWhenUsed/>
    <w:rsid w:val="003C0E7C"/>
    <w:rPr>
      <w:sz w:val="20"/>
      <w:szCs w:val="20"/>
    </w:rPr>
  </w:style>
  <w:style w:type="character" w:customStyle="1" w:styleId="CommentTextChar">
    <w:name w:val="Comment Text Char"/>
    <w:basedOn w:val="DefaultParagraphFont"/>
    <w:link w:val="CommentText"/>
    <w:uiPriority w:val="99"/>
    <w:semiHidden/>
    <w:rsid w:val="003C0E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E7C"/>
    <w:rPr>
      <w:b/>
      <w:bCs/>
    </w:rPr>
  </w:style>
  <w:style w:type="character" w:customStyle="1" w:styleId="CommentSubjectChar">
    <w:name w:val="Comment Subject Char"/>
    <w:basedOn w:val="CommentTextChar"/>
    <w:link w:val="CommentSubject"/>
    <w:uiPriority w:val="99"/>
    <w:semiHidden/>
    <w:rsid w:val="003C0E7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C0E7C"/>
    <w:rPr>
      <w:rFonts w:ascii="Tahoma" w:hAnsi="Tahoma" w:cs="Tahoma"/>
      <w:sz w:val="16"/>
      <w:szCs w:val="16"/>
    </w:rPr>
  </w:style>
  <w:style w:type="character" w:customStyle="1" w:styleId="BalloonTextChar">
    <w:name w:val="Balloon Text Char"/>
    <w:basedOn w:val="DefaultParagraphFont"/>
    <w:link w:val="BalloonText"/>
    <w:uiPriority w:val="99"/>
    <w:semiHidden/>
    <w:rsid w:val="003C0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4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C4D"/>
    <w:rPr>
      <w:color w:val="0000FF"/>
      <w:u w:val="single"/>
    </w:rPr>
  </w:style>
  <w:style w:type="paragraph" w:styleId="PlainText">
    <w:name w:val="Plain Text"/>
    <w:basedOn w:val="Normal"/>
    <w:link w:val="PlainTextChar"/>
    <w:uiPriority w:val="99"/>
    <w:unhideWhenUsed/>
    <w:rsid w:val="00F80C4D"/>
    <w:rPr>
      <w:rFonts w:ascii="Calibri" w:hAnsi="Calibri" w:cstheme="minorBidi"/>
      <w:sz w:val="22"/>
      <w:szCs w:val="21"/>
    </w:rPr>
  </w:style>
  <w:style w:type="character" w:customStyle="1" w:styleId="PlainTextChar">
    <w:name w:val="Plain Text Char"/>
    <w:basedOn w:val="DefaultParagraphFont"/>
    <w:link w:val="PlainText"/>
    <w:uiPriority w:val="99"/>
    <w:rsid w:val="00F80C4D"/>
    <w:rPr>
      <w:rFonts w:ascii="Calibri" w:hAnsi="Calibri"/>
      <w:szCs w:val="21"/>
    </w:rPr>
  </w:style>
  <w:style w:type="paragraph" w:styleId="FootnoteText">
    <w:name w:val="footnote text"/>
    <w:basedOn w:val="Normal"/>
    <w:link w:val="FootnoteTextChar"/>
    <w:uiPriority w:val="99"/>
    <w:semiHidden/>
    <w:unhideWhenUsed/>
    <w:rsid w:val="003E6F13"/>
    <w:rPr>
      <w:sz w:val="20"/>
      <w:szCs w:val="20"/>
    </w:rPr>
  </w:style>
  <w:style w:type="character" w:customStyle="1" w:styleId="FootnoteTextChar">
    <w:name w:val="Footnote Text Char"/>
    <w:basedOn w:val="DefaultParagraphFont"/>
    <w:link w:val="FootnoteText"/>
    <w:uiPriority w:val="99"/>
    <w:semiHidden/>
    <w:rsid w:val="003E6F1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E6F13"/>
    <w:rPr>
      <w:vertAlign w:val="superscript"/>
    </w:rPr>
  </w:style>
  <w:style w:type="paragraph" w:customStyle="1" w:styleId="Default">
    <w:name w:val="Default"/>
    <w:rsid w:val="00BE6B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E6B37"/>
    <w:pPr>
      <w:tabs>
        <w:tab w:val="center" w:pos="4680"/>
        <w:tab w:val="right" w:pos="9360"/>
      </w:tabs>
    </w:pPr>
  </w:style>
  <w:style w:type="character" w:customStyle="1" w:styleId="HeaderChar">
    <w:name w:val="Header Char"/>
    <w:basedOn w:val="DefaultParagraphFont"/>
    <w:link w:val="Header"/>
    <w:uiPriority w:val="99"/>
    <w:rsid w:val="00BE6B37"/>
    <w:rPr>
      <w:rFonts w:ascii="Times New Roman" w:hAnsi="Times New Roman" w:cs="Times New Roman"/>
      <w:sz w:val="24"/>
      <w:szCs w:val="24"/>
    </w:rPr>
  </w:style>
  <w:style w:type="paragraph" w:styleId="Footer">
    <w:name w:val="footer"/>
    <w:basedOn w:val="Normal"/>
    <w:link w:val="FooterChar"/>
    <w:uiPriority w:val="99"/>
    <w:unhideWhenUsed/>
    <w:rsid w:val="00BE6B37"/>
    <w:pPr>
      <w:tabs>
        <w:tab w:val="center" w:pos="4680"/>
        <w:tab w:val="right" w:pos="9360"/>
      </w:tabs>
    </w:pPr>
  </w:style>
  <w:style w:type="character" w:customStyle="1" w:styleId="FooterChar">
    <w:name w:val="Footer Char"/>
    <w:basedOn w:val="DefaultParagraphFont"/>
    <w:link w:val="Footer"/>
    <w:uiPriority w:val="99"/>
    <w:rsid w:val="00BE6B3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151EB"/>
    <w:rPr>
      <w:color w:val="800080" w:themeColor="followedHyperlink"/>
      <w:u w:val="single"/>
    </w:rPr>
  </w:style>
  <w:style w:type="paragraph" w:styleId="NormalWeb">
    <w:name w:val="Normal (Web)"/>
    <w:basedOn w:val="Normal"/>
    <w:uiPriority w:val="99"/>
    <w:semiHidden/>
    <w:unhideWhenUsed/>
    <w:rsid w:val="00161CC5"/>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3C0E7C"/>
    <w:rPr>
      <w:sz w:val="16"/>
      <w:szCs w:val="16"/>
    </w:rPr>
  </w:style>
  <w:style w:type="paragraph" w:styleId="CommentText">
    <w:name w:val="annotation text"/>
    <w:basedOn w:val="Normal"/>
    <w:link w:val="CommentTextChar"/>
    <w:uiPriority w:val="99"/>
    <w:semiHidden/>
    <w:unhideWhenUsed/>
    <w:rsid w:val="003C0E7C"/>
    <w:rPr>
      <w:sz w:val="20"/>
      <w:szCs w:val="20"/>
    </w:rPr>
  </w:style>
  <w:style w:type="character" w:customStyle="1" w:styleId="CommentTextChar">
    <w:name w:val="Comment Text Char"/>
    <w:basedOn w:val="DefaultParagraphFont"/>
    <w:link w:val="CommentText"/>
    <w:uiPriority w:val="99"/>
    <w:semiHidden/>
    <w:rsid w:val="003C0E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E7C"/>
    <w:rPr>
      <w:b/>
      <w:bCs/>
    </w:rPr>
  </w:style>
  <w:style w:type="character" w:customStyle="1" w:styleId="CommentSubjectChar">
    <w:name w:val="Comment Subject Char"/>
    <w:basedOn w:val="CommentTextChar"/>
    <w:link w:val="CommentSubject"/>
    <w:uiPriority w:val="99"/>
    <w:semiHidden/>
    <w:rsid w:val="003C0E7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C0E7C"/>
    <w:rPr>
      <w:rFonts w:ascii="Tahoma" w:hAnsi="Tahoma" w:cs="Tahoma"/>
      <w:sz w:val="16"/>
      <w:szCs w:val="16"/>
    </w:rPr>
  </w:style>
  <w:style w:type="character" w:customStyle="1" w:styleId="BalloonTextChar">
    <w:name w:val="Balloon Text Char"/>
    <w:basedOn w:val="DefaultParagraphFont"/>
    <w:link w:val="BalloonText"/>
    <w:uiPriority w:val="99"/>
    <w:semiHidden/>
    <w:rsid w:val="003C0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7705">
      <w:bodyDiv w:val="1"/>
      <w:marLeft w:val="0"/>
      <w:marRight w:val="0"/>
      <w:marTop w:val="0"/>
      <w:marBottom w:val="0"/>
      <w:divBdr>
        <w:top w:val="none" w:sz="0" w:space="0" w:color="auto"/>
        <w:left w:val="none" w:sz="0" w:space="0" w:color="auto"/>
        <w:bottom w:val="none" w:sz="0" w:space="0" w:color="auto"/>
        <w:right w:val="none" w:sz="0" w:space="0" w:color="auto"/>
      </w:divBdr>
    </w:div>
    <w:div w:id="549078728">
      <w:bodyDiv w:val="1"/>
      <w:marLeft w:val="0"/>
      <w:marRight w:val="0"/>
      <w:marTop w:val="0"/>
      <w:marBottom w:val="0"/>
      <w:divBdr>
        <w:top w:val="none" w:sz="0" w:space="0" w:color="auto"/>
        <w:left w:val="none" w:sz="0" w:space="0" w:color="auto"/>
        <w:bottom w:val="none" w:sz="0" w:space="0" w:color="auto"/>
        <w:right w:val="none" w:sz="0" w:space="0" w:color="auto"/>
      </w:divBdr>
    </w:div>
    <w:div w:id="698240024">
      <w:bodyDiv w:val="1"/>
      <w:marLeft w:val="0"/>
      <w:marRight w:val="0"/>
      <w:marTop w:val="0"/>
      <w:marBottom w:val="0"/>
      <w:divBdr>
        <w:top w:val="none" w:sz="0" w:space="0" w:color="auto"/>
        <w:left w:val="none" w:sz="0" w:space="0" w:color="auto"/>
        <w:bottom w:val="none" w:sz="0" w:space="0" w:color="auto"/>
        <w:right w:val="none" w:sz="0" w:space="0" w:color="auto"/>
      </w:divBdr>
    </w:div>
    <w:div w:id="706562641">
      <w:bodyDiv w:val="1"/>
      <w:marLeft w:val="0"/>
      <w:marRight w:val="0"/>
      <w:marTop w:val="0"/>
      <w:marBottom w:val="0"/>
      <w:divBdr>
        <w:top w:val="none" w:sz="0" w:space="0" w:color="auto"/>
        <w:left w:val="none" w:sz="0" w:space="0" w:color="auto"/>
        <w:bottom w:val="none" w:sz="0" w:space="0" w:color="auto"/>
        <w:right w:val="none" w:sz="0" w:space="0" w:color="auto"/>
      </w:divBdr>
    </w:div>
    <w:div w:id="775752640">
      <w:bodyDiv w:val="1"/>
      <w:marLeft w:val="0"/>
      <w:marRight w:val="0"/>
      <w:marTop w:val="0"/>
      <w:marBottom w:val="0"/>
      <w:divBdr>
        <w:top w:val="none" w:sz="0" w:space="0" w:color="auto"/>
        <w:left w:val="none" w:sz="0" w:space="0" w:color="auto"/>
        <w:bottom w:val="none" w:sz="0" w:space="0" w:color="auto"/>
        <w:right w:val="none" w:sz="0" w:space="0" w:color="auto"/>
      </w:divBdr>
    </w:div>
    <w:div w:id="882445730">
      <w:bodyDiv w:val="1"/>
      <w:marLeft w:val="0"/>
      <w:marRight w:val="0"/>
      <w:marTop w:val="0"/>
      <w:marBottom w:val="0"/>
      <w:divBdr>
        <w:top w:val="none" w:sz="0" w:space="0" w:color="auto"/>
        <w:left w:val="none" w:sz="0" w:space="0" w:color="auto"/>
        <w:bottom w:val="none" w:sz="0" w:space="0" w:color="auto"/>
        <w:right w:val="none" w:sz="0" w:space="0" w:color="auto"/>
      </w:divBdr>
    </w:div>
    <w:div w:id="1289622637">
      <w:bodyDiv w:val="1"/>
      <w:marLeft w:val="0"/>
      <w:marRight w:val="0"/>
      <w:marTop w:val="0"/>
      <w:marBottom w:val="0"/>
      <w:divBdr>
        <w:top w:val="none" w:sz="0" w:space="0" w:color="auto"/>
        <w:left w:val="none" w:sz="0" w:space="0" w:color="auto"/>
        <w:bottom w:val="none" w:sz="0" w:space="0" w:color="auto"/>
        <w:right w:val="none" w:sz="0" w:space="0" w:color="auto"/>
      </w:divBdr>
    </w:div>
    <w:div w:id="1726565514">
      <w:bodyDiv w:val="1"/>
      <w:marLeft w:val="0"/>
      <w:marRight w:val="0"/>
      <w:marTop w:val="0"/>
      <w:marBottom w:val="0"/>
      <w:divBdr>
        <w:top w:val="none" w:sz="0" w:space="0" w:color="auto"/>
        <w:left w:val="none" w:sz="0" w:space="0" w:color="auto"/>
        <w:bottom w:val="none" w:sz="0" w:space="0" w:color="auto"/>
        <w:right w:val="none" w:sz="0" w:space="0" w:color="auto"/>
      </w:divBdr>
    </w:div>
    <w:div w:id="1942948771">
      <w:bodyDiv w:val="1"/>
      <w:marLeft w:val="0"/>
      <w:marRight w:val="0"/>
      <w:marTop w:val="0"/>
      <w:marBottom w:val="0"/>
      <w:divBdr>
        <w:top w:val="none" w:sz="0" w:space="0" w:color="auto"/>
        <w:left w:val="none" w:sz="0" w:space="0" w:color="auto"/>
        <w:bottom w:val="none" w:sz="0" w:space="0" w:color="auto"/>
        <w:right w:val="none" w:sz="0" w:space="0" w:color="auto"/>
      </w:divBdr>
    </w:div>
    <w:div w:id="21262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obt1@denalifcu.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Comments@fhf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t.fhfa.gov/open-for-comment-or-input"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04646-0F61-40D7-A555-3AA7B92AC74B}"/>
</file>

<file path=customXml/itemProps2.xml><?xml version="1.0" encoding="utf-8"?>
<ds:datastoreItem xmlns:ds="http://schemas.openxmlformats.org/officeDocument/2006/customXml" ds:itemID="{6877FF70-EED0-4CBE-B58E-BE4C1ED97A92}"/>
</file>

<file path=customXml/itemProps3.xml><?xml version="1.0" encoding="utf-8"?>
<ds:datastoreItem xmlns:ds="http://schemas.openxmlformats.org/officeDocument/2006/customXml" ds:itemID="{1250DF58-D770-4030-A5B4-7EEAF85C2984}"/>
</file>

<file path=customXml/itemProps4.xml><?xml version="1.0" encoding="utf-8"?>
<ds:datastoreItem xmlns:ds="http://schemas.openxmlformats.org/officeDocument/2006/customXml" ds:itemID="{15808A99-3443-43FA-BBE8-49571EBE62BC}"/>
</file>

<file path=docProps/app.xml><?xml version="1.0" encoding="utf-8"?>
<Properties xmlns="http://schemas.openxmlformats.org/officeDocument/2006/extended-properties" xmlns:vt="http://schemas.openxmlformats.org/officeDocument/2006/docPropsVTypes">
  <Template>Normal</Template>
  <TotalTime>2</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DAFCU</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 Melton</dc:creator>
  <cp:lastModifiedBy>Sarah E. Melton</cp:lastModifiedBy>
  <cp:revision>3</cp:revision>
  <cp:lastPrinted>2014-12-17T18:54:00Z</cp:lastPrinted>
  <dcterms:created xsi:type="dcterms:W3CDTF">2015-01-13T01:10:00Z</dcterms:created>
  <dcterms:modified xsi:type="dcterms:W3CDTF">2015-01-13T01:11:00Z</dcterms:modified>
</cp:coreProperties>
</file>