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6E7F5" w14:textId="77777777" w:rsidR="0087158A" w:rsidRDefault="0087158A" w:rsidP="00ED0785">
      <w:pPr>
        <w:pStyle w:val="ListBullet"/>
        <w:numPr>
          <w:ilvl w:val="0"/>
          <w:numId w:val="0"/>
        </w:numPr>
      </w:pPr>
    </w:p>
    <w:p w14:paraId="7F1948CF" w14:textId="77777777" w:rsidR="00D16E70" w:rsidRDefault="00D16E70" w:rsidP="00D16E70">
      <w:pPr>
        <w:pStyle w:val="ListBullet"/>
        <w:numPr>
          <w:ilvl w:val="0"/>
          <w:numId w:val="0"/>
        </w:numPr>
      </w:pPr>
      <w:r>
        <w:t>The Honorable Sandra Thompson</w:t>
      </w:r>
    </w:p>
    <w:p w14:paraId="080B3A25" w14:textId="77777777" w:rsidR="00D16E70" w:rsidRDefault="00D16E70" w:rsidP="00D16E70">
      <w:pPr>
        <w:pStyle w:val="ListBullet"/>
        <w:numPr>
          <w:ilvl w:val="0"/>
          <w:numId w:val="0"/>
        </w:numPr>
      </w:pPr>
      <w:r>
        <w:t>Federal Housing Finance Agency</w:t>
      </w:r>
    </w:p>
    <w:p w14:paraId="2924C3BB" w14:textId="18B642FA" w:rsidR="00106C76" w:rsidRDefault="00D16E70" w:rsidP="00D16E70">
      <w:pPr>
        <w:pStyle w:val="ListBullet"/>
        <w:numPr>
          <w:ilvl w:val="0"/>
          <w:numId w:val="0"/>
        </w:numPr>
      </w:pPr>
      <w:r>
        <w:t>Washington, DC</w:t>
      </w:r>
    </w:p>
    <w:p w14:paraId="2297E6D3" w14:textId="77777777" w:rsidR="00D16E70" w:rsidRDefault="00D16E70" w:rsidP="00D16E70">
      <w:pPr>
        <w:pStyle w:val="ListBullet"/>
        <w:numPr>
          <w:ilvl w:val="0"/>
          <w:numId w:val="0"/>
        </w:numPr>
      </w:pPr>
    </w:p>
    <w:p w14:paraId="774B0E9C" w14:textId="07745659" w:rsidR="00106C76" w:rsidRDefault="00106C76" w:rsidP="00B34899">
      <w:pPr>
        <w:pStyle w:val="ListBullet"/>
        <w:numPr>
          <w:ilvl w:val="0"/>
          <w:numId w:val="0"/>
        </w:numPr>
      </w:pPr>
      <w:r>
        <w:t xml:space="preserve">July </w:t>
      </w:r>
      <w:r w:rsidR="00D16E70">
        <w:t>31</w:t>
      </w:r>
      <w:r>
        <w:t>, 2023</w:t>
      </w:r>
    </w:p>
    <w:p w14:paraId="385F66C9" w14:textId="77777777" w:rsidR="00D16E70" w:rsidRDefault="00D16E70" w:rsidP="00B34899">
      <w:pPr>
        <w:pStyle w:val="ListBullet"/>
        <w:numPr>
          <w:ilvl w:val="0"/>
          <w:numId w:val="0"/>
        </w:numPr>
      </w:pPr>
    </w:p>
    <w:p w14:paraId="263672F1" w14:textId="4CFFF10C" w:rsidR="00D16E70" w:rsidRDefault="00D16E70" w:rsidP="00B34899">
      <w:pPr>
        <w:pStyle w:val="ListBullet"/>
        <w:numPr>
          <w:ilvl w:val="0"/>
          <w:numId w:val="0"/>
        </w:numPr>
      </w:pPr>
      <w:r>
        <w:t>RE: Federal Housing Finance Agency’s Request for Input on Multifamily Tenant Protections</w:t>
      </w:r>
    </w:p>
    <w:p w14:paraId="20C47FB0" w14:textId="77777777" w:rsidR="00106C76" w:rsidRDefault="00106C76" w:rsidP="00B34899">
      <w:pPr>
        <w:pStyle w:val="ListBullet"/>
        <w:numPr>
          <w:ilvl w:val="0"/>
          <w:numId w:val="0"/>
        </w:numPr>
        <w:jc w:val="both"/>
      </w:pPr>
    </w:p>
    <w:p w14:paraId="529B6D23" w14:textId="13CF83EF" w:rsidR="00106C76" w:rsidRDefault="00197A65" w:rsidP="00B34899">
      <w:pPr>
        <w:pStyle w:val="ListBullet"/>
        <w:numPr>
          <w:ilvl w:val="0"/>
          <w:numId w:val="0"/>
        </w:numPr>
        <w:jc w:val="both"/>
      </w:pPr>
      <w:r>
        <w:t xml:space="preserve">Dear </w:t>
      </w:r>
      <w:r w:rsidR="00D16E70">
        <w:t>Director Thom</w:t>
      </w:r>
      <w:r w:rsidR="00CB53D4">
        <w:t>p</w:t>
      </w:r>
      <w:r w:rsidR="00D16E70">
        <w:t>son:</w:t>
      </w:r>
    </w:p>
    <w:p w14:paraId="544AFC43" w14:textId="77777777" w:rsidR="00197A65" w:rsidRDefault="00197A65" w:rsidP="00B34899">
      <w:pPr>
        <w:pStyle w:val="ListBullet"/>
        <w:numPr>
          <w:ilvl w:val="0"/>
          <w:numId w:val="0"/>
        </w:numPr>
        <w:jc w:val="both"/>
      </w:pPr>
    </w:p>
    <w:p w14:paraId="03F6AA0C" w14:textId="21ED44FE" w:rsidR="00D16E70" w:rsidRDefault="00197A65" w:rsidP="00B34899">
      <w:pPr>
        <w:pStyle w:val="ListBullet"/>
        <w:numPr>
          <w:ilvl w:val="0"/>
          <w:numId w:val="0"/>
        </w:numPr>
        <w:jc w:val="both"/>
      </w:pPr>
      <w:r>
        <w:t xml:space="preserve">Legal Action of Wisconsin (“LAW”) writes this letter </w:t>
      </w:r>
      <w:r w:rsidR="00D16E70">
        <w:t xml:space="preserve">in response to the Federal Housing Finance Agency’s Request for Input on Multifamily Tenant Protections. </w:t>
      </w:r>
      <w:r w:rsidR="0054385A" w:rsidRPr="0054385A">
        <w:t>LAW is Wisconsin’s largest nonprofit law firm, providing free, high-quality civil legal aid to the state’s low-income residents. Our work spans a wide range of issues</w:t>
      </w:r>
      <w:r w:rsidR="0054385A">
        <w:t xml:space="preserve"> </w:t>
      </w:r>
      <w:r w:rsidR="0054385A" w:rsidRPr="0054385A">
        <w:t xml:space="preserve">across a </w:t>
      </w:r>
      <w:r w:rsidR="00E57EB1">
        <w:t>broad</w:t>
      </w:r>
      <w:r w:rsidR="0054385A" w:rsidRPr="0054385A">
        <w:t xml:space="preserve"> geographic scope, covering urban, suburban, ex-urban, and rural area</w:t>
      </w:r>
      <w:r w:rsidR="0054385A">
        <w:t>s.</w:t>
      </w:r>
    </w:p>
    <w:p w14:paraId="106E7BD7" w14:textId="77777777" w:rsidR="00D16E70" w:rsidRDefault="00D16E70" w:rsidP="00B34899">
      <w:pPr>
        <w:pStyle w:val="ListBullet"/>
        <w:numPr>
          <w:ilvl w:val="0"/>
          <w:numId w:val="0"/>
        </w:numPr>
        <w:jc w:val="both"/>
      </w:pPr>
    </w:p>
    <w:p w14:paraId="1B12B5B5" w14:textId="153DE04A" w:rsidR="00F94945" w:rsidRDefault="00D16E70" w:rsidP="008011F7">
      <w:pPr>
        <w:pStyle w:val="ListBullet"/>
        <w:numPr>
          <w:ilvl w:val="0"/>
          <w:numId w:val="0"/>
        </w:numPr>
        <w:jc w:val="both"/>
      </w:pPr>
      <w:r>
        <w:t xml:space="preserve">One of LAW’s priority areas is </w:t>
      </w:r>
      <w:r w:rsidR="008011F7">
        <w:t xml:space="preserve">housing law. Our attorneys regularly represent tenants in eviction </w:t>
      </w:r>
      <w:r w:rsidR="00923545">
        <w:t>hearings</w:t>
      </w:r>
      <w:r w:rsidR="008011F7">
        <w:t xml:space="preserve">, proceedings regarding rental arrears and other monetary claims, affirmative cases to enforce tenants’ rights, and various other legal contexts. We regularly </w:t>
      </w:r>
      <w:r w:rsidR="00923545">
        <w:t xml:space="preserve">see how weak or nonexistent tenant protections can lead to the exploitation of vulnerable individuals. This exploitation often deepens racial and gender inequities. At the same time, we often see how </w:t>
      </w:r>
      <w:r w:rsidR="00F94945">
        <w:t xml:space="preserve">the existence of </w:t>
      </w:r>
      <w:r w:rsidR="00923545">
        <w:t xml:space="preserve">even </w:t>
      </w:r>
      <w:r w:rsidR="00F94945">
        <w:t xml:space="preserve">small tenant protections can </w:t>
      </w:r>
      <w:r w:rsidR="00923545">
        <w:t>be the lifeline that saves a family from homelessness.</w:t>
      </w:r>
    </w:p>
    <w:p w14:paraId="2B187F2C" w14:textId="77777777" w:rsidR="00F94945" w:rsidRDefault="00F94945" w:rsidP="008011F7">
      <w:pPr>
        <w:pStyle w:val="ListBullet"/>
        <w:numPr>
          <w:ilvl w:val="0"/>
          <w:numId w:val="0"/>
        </w:numPr>
        <w:jc w:val="both"/>
      </w:pPr>
    </w:p>
    <w:p w14:paraId="11CDA894" w14:textId="664D324D" w:rsidR="008011F7" w:rsidRDefault="008011F7" w:rsidP="008011F7">
      <w:pPr>
        <w:pStyle w:val="ListBullet"/>
        <w:numPr>
          <w:ilvl w:val="0"/>
          <w:numId w:val="0"/>
        </w:numPr>
        <w:jc w:val="both"/>
      </w:pPr>
      <w:r>
        <w:t xml:space="preserve">FHFA has an important opportunity to help establish a minimum federal floor of tenant protections. </w:t>
      </w:r>
      <w:r w:rsidR="00673B74">
        <w:t>Establishing</w:t>
      </w:r>
      <w:r w:rsidR="00923545">
        <w:t xml:space="preserve"> the following renter protections for households living in properties with federally-backed mortgages</w:t>
      </w:r>
      <w:r w:rsidR="00673B74">
        <w:t xml:space="preserve"> would have a positive impact on LAW’s clients:</w:t>
      </w:r>
    </w:p>
    <w:p w14:paraId="2B1FA4DB" w14:textId="77777777" w:rsidR="00923545" w:rsidRDefault="00923545" w:rsidP="008011F7">
      <w:pPr>
        <w:pStyle w:val="ListBullet"/>
        <w:numPr>
          <w:ilvl w:val="0"/>
          <w:numId w:val="0"/>
        </w:numPr>
        <w:jc w:val="both"/>
      </w:pPr>
    </w:p>
    <w:p w14:paraId="121BDD6F" w14:textId="1D0F9F92" w:rsidR="00CB53D4" w:rsidRDefault="00673B74" w:rsidP="008011F7">
      <w:pPr>
        <w:pStyle w:val="ListBullet"/>
        <w:numPr>
          <w:ilvl w:val="0"/>
          <w:numId w:val="0"/>
        </w:numPr>
        <w:jc w:val="both"/>
      </w:pPr>
      <w:r>
        <w:rPr>
          <w:b/>
          <w:bCs/>
        </w:rPr>
        <w:t>Fair</w:t>
      </w:r>
      <w:r w:rsidR="00F94945" w:rsidRPr="00923545">
        <w:rPr>
          <w:b/>
          <w:bCs/>
        </w:rPr>
        <w:t xml:space="preserve"> Tenant Screening</w:t>
      </w:r>
      <w:r w:rsidR="00CB53D4" w:rsidRPr="00923545">
        <w:rPr>
          <w:b/>
          <w:bCs/>
        </w:rPr>
        <w:t xml:space="preserve"> Practices</w:t>
      </w:r>
      <w:r w:rsidR="00CB53D4">
        <w:t>:</w:t>
      </w:r>
      <w:r w:rsidR="00321652">
        <w:t xml:space="preserve"> Landlords in Wisconsin </w:t>
      </w:r>
      <w:r w:rsidR="00646E5E">
        <w:t>regularly deny tenants housing due to past eviction records, credit history and credit scores, and criminal history. Indeed, Wisconsin law specifically provides that localities cannot enact ordinances that prohibit a landlords’ ability to screen tenants using many of these factors. Wis. Stat. § 66.0104(2)(a). Unfortunately, these screening practices create cycles of poverty and hardship.</w:t>
      </w:r>
      <w:r w:rsidR="00646E5E">
        <w:rPr>
          <w:rStyle w:val="FootnoteReference"/>
        </w:rPr>
        <w:footnoteReference w:id="1"/>
      </w:r>
      <w:r w:rsidR="00646E5E">
        <w:t xml:space="preserve"> </w:t>
      </w:r>
      <w:r>
        <w:t xml:space="preserve">An </w:t>
      </w:r>
      <w:r w:rsidR="004E7DFC">
        <w:t xml:space="preserve">FHFA </w:t>
      </w:r>
      <w:r>
        <w:t>rule that prohibited unfair screening practices by landlords with federally-backed mortgages would help tenants escape these negative cycles and further fair housing.</w:t>
      </w:r>
    </w:p>
    <w:p w14:paraId="159A395F" w14:textId="77777777" w:rsidR="00CB53D4" w:rsidRDefault="00CB53D4" w:rsidP="008011F7">
      <w:pPr>
        <w:pStyle w:val="ListBullet"/>
        <w:numPr>
          <w:ilvl w:val="0"/>
          <w:numId w:val="0"/>
        </w:numPr>
        <w:jc w:val="both"/>
      </w:pPr>
    </w:p>
    <w:p w14:paraId="4D56676F" w14:textId="2AF87719" w:rsidR="00CB53D4" w:rsidRPr="008B47E0" w:rsidRDefault="00CB53D4" w:rsidP="008011F7">
      <w:pPr>
        <w:pStyle w:val="ListBullet"/>
        <w:numPr>
          <w:ilvl w:val="0"/>
          <w:numId w:val="0"/>
        </w:numPr>
        <w:jc w:val="both"/>
        <w:rPr>
          <w:b/>
          <w:bCs/>
        </w:rPr>
      </w:pPr>
      <w:r w:rsidRPr="00923545">
        <w:rPr>
          <w:b/>
          <w:bCs/>
        </w:rPr>
        <w:lastRenderedPageBreak/>
        <w:t>Safe, Quality Housing Standards</w:t>
      </w:r>
      <w:r>
        <w:t>:</w:t>
      </w:r>
      <w:r w:rsidR="00321652">
        <w:t xml:space="preserve"> </w:t>
      </w:r>
      <w:r w:rsidR="0054385A">
        <w:t xml:space="preserve">Even if a tenant can make it through the gauntlet of landlord screenings and secure an apartment, low-income tenants often find themselves in homes with various conditions issues. A study conducted in </w:t>
      </w:r>
      <w:r w:rsidR="008B47E0">
        <w:t>fifteen neighborhoods in Milwaukee found that nearly a quarter of all residential and mixed-use properties needed at least one major repair, and almost 15% needed multiple major repairs.</w:t>
      </w:r>
      <w:r w:rsidR="00D2146D">
        <w:rPr>
          <w:rStyle w:val="FootnoteReference"/>
        </w:rPr>
        <w:footnoteReference w:id="2"/>
      </w:r>
      <w:r w:rsidR="008B47E0">
        <w:t xml:space="preserve"> Unaddressed repairs can </w:t>
      </w:r>
      <w:r w:rsidR="00D2146D">
        <w:t>cause significant health problems for tenants, such as asthma and lead poisoning.</w:t>
      </w:r>
      <w:r w:rsidR="00D2146D">
        <w:rPr>
          <w:rStyle w:val="FootnoteReference"/>
        </w:rPr>
        <w:footnoteReference w:id="3"/>
      </w:r>
      <w:r w:rsidR="00D2146D">
        <w:t xml:space="preserve"> Children and people of color are disproportionately affected by such health concerns.</w:t>
      </w:r>
      <w:r w:rsidR="00D2146D">
        <w:rPr>
          <w:rStyle w:val="FootnoteReference"/>
        </w:rPr>
        <w:footnoteReference w:id="4"/>
      </w:r>
      <w:r w:rsidR="00D2146D">
        <w:t xml:space="preserve"> Strong federal hea</w:t>
      </w:r>
      <w:r w:rsidR="00BD1603">
        <w:t>l</w:t>
      </w:r>
      <w:r w:rsidR="00D2146D">
        <w:t>th and safety standards for</w:t>
      </w:r>
      <w:r w:rsidR="00FD1466">
        <w:t xml:space="preserve"> federally-backed</w:t>
      </w:r>
      <w:r w:rsidR="00D2146D">
        <w:t xml:space="preserve"> multifamily housing, as well as </w:t>
      </w:r>
      <w:r w:rsidR="00FD1466">
        <w:t xml:space="preserve">meaningful </w:t>
      </w:r>
      <w:r w:rsidR="00D2146D">
        <w:t>enforcement mechanisms</w:t>
      </w:r>
      <w:r w:rsidR="00FD1466">
        <w:t>, would be an important step to ensur</w:t>
      </w:r>
      <w:r w:rsidR="00673B74">
        <w:t>e</w:t>
      </w:r>
      <w:r w:rsidR="00FD1466">
        <w:t xml:space="preserve"> safe and decent </w:t>
      </w:r>
      <w:r w:rsidR="00290D35">
        <w:t xml:space="preserve">housing </w:t>
      </w:r>
      <w:r w:rsidR="00FD1466">
        <w:t>for thousands of families.</w:t>
      </w:r>
    </w:p>
    <w:p w14:paraId="57990CC0" w14:textId="77777777" w:rsidR="00CB53D4" w:rsidRDefault="00CB53D4" w:rsidP="008011F7">
      <w:pPr>
        <w:pStyle w:val="ListBullet"/>
        <w:numPr>
          <w:ilvl w:val="0"/>
          <w:numId w:val="0"/>
        </w:numPr>
        <w:jc w:val="both"/>
      </w:pPr>
    </w:p>
    <w:p w14:paraId="6481F848" w14:textId="46BCA972" w:rsidR="00321652" w:rsidRDefault="00CB53D4" w:rsidP="00321652">
      <w:pPr>
        <w:pStyle w:val="ListBullet"/>
        <w:numPr>
          <w:ilvl w:val="0"/>
          <w:numId w:val="0"/>
        </w:numPr>
        <w:jc w:val="both"/>
      </w:pPr>
      <w:r w:rsidRPr="00923545">
        <w:rPr>
          <w:b/>
          <w:bCs/>
        </w:rPr>
        <w:t>Source of Income Discrimination</w:t>
      </w:r>
      <w:r w:rsidR="00673B74">
        <w:rPr>
          <w:b/>
          <w:bCs/>
        </w:rPr>
        <w:t xml:space="preserve"> Harms Multifamily Renters</w:t>
      </w:r>
      <w:r>
        <w:t>:</w:t>
      </w:r>
      <w:r w:rsidR="00321652">
        <w:t xml:space="preserve"> While Wisconsin does prohibit discrimination in rental housing based on “lawful source of income,” Wis. Stat. § 106.50(1), this has been interpreted to exclude housing choice vouchers, </w:t>
      </w:r>
      <w:r w:rsidR="00321652" w:rsidRPr="00321652">
        <w:rPr>
          <w:i/>
          <w:iCs/>
        </w:rPr>
        <w:t>Knapp v. Eagle Property Management Corp.</w:t>
      </w:r>
      <w:r w:rsidR="00321652" w:rsidRPr="00321652">
        <w:t xml:space="preserve"> 54 F.3d 1272 (1995).</w:t>
      </w:r>
      <w:r w:rsidR="00321652">
        <w:t xml:space="preserve"> Thus, many landlords will openly refuse to accept federal rental assistance or otherwise deny tenants housing</w:t>
      </w:r>
      <w:r w:rsidR="00AD1404">
        <w:t>, frustrating the purpose behind these subsidized housing programs and limiting family choice.</w:t>
      </w:r>
      <w:r w:rsidR="00673B74">
        <w:t xml:space="preserve"> An FHFA Rule protecting households receiving rental housing assistance such as Section 8 Vouchers, SSI or local rent assistance from discrimination would be particularly helpful in Wisconsin where such renters face persistent discrimination.</w:t>
      </w:r>
    </w:p>
    <w:p w14:paraId="309DA06E" w14:textId="77777777" w:rsidR="00CB53D4" w:rsidRDefault="00CB53D4" w:rsidP="008011F7">
      <w:pPr>
        <w:pStyle w:val="ListBullet"/>
        <w:numPr>
          <w:ilvl w:val="0"/>
          <w:numId w:val="0"/>
        </w:numPr>
        <w:jc w:val="both"/>
      </w:pPr>
    </w:p>
    <w:p w14:paraId="4C3F47C6" w14:textId="44BA2FDB" w:rsidR="00CB53D4" w:rsidRDefault="00CB53D4" w:rsidP="008011F7">
      <w:pPr>
        <w:pStyle w:val="ListBullet"/>
        <w:numPr>
          <w:ilvl w:val="0"/>
          <w:numId w:val="0"/>
        </w:numPr>
        <w:jc w:val="both"/>
      </w:pPr>
      <w:r w:rsidRPr="00923545">
        <w:rPr>
          <w:b/>
          <w:bCs/>
        </w:rPr>
        <w:t>Just Cause Eviction Protections</w:t>
      </w:r>
      <w:r>
        <w:t>:</w:t>
      </w:r>
      <w:r w:rsidR="00923545">
        <w:t xml:space="preserve"> In Wisconsin, like many states, landlords can evict a tenant for any reason or no reason, so long as the eviction is not </w:t>
      </w:r>
      <w:r w:rsidR="00321652">
        <w:t>discriminatory or retaliatory</w:t>
      </w:r>
      <w:r w:rsidR="008B47E0">
        <w:t>.</w:t>
      </w:r>
      <w:r w:rsidR="00673B74">
        <w:t xml:space="preserve"> However, even if a tenant believes the nonrenewal is retaliatory or discriminatory, the tenant will move anyway to avoid having an eviction filing on their record. An</w:t>
      </w:r>
      <w:r w:rsidR="008B47E0">
        <w:t xml:space="preserve"> </w:t>
      </w:r>
      <w:r w:rsidR="00321652">
        <w:t xml:space="preserve">FHFA </w:t>
      </w:r>
      <w:r w:rsidR="00673B74">
        <w:t>rule</w:t>
      </w:r>
      <w:r w:rsidR="00321652">
        <w:t xml:space="preserve"> </w:t>
      </w:r>
      <w:r w:rsidR="00321652" w:rsidRPr="00321652">
        <w:t>limit</w:t>
      </w:r>
      <w:r w:rsidR="00673B74">
        <w:t>ing</w:t>
      </w:r>
      <w:r w:rsidR="00321652" w:rsidRPr="00321652">
        <w:t xml:space="preserve"> the causes for which a landlord can evict a tenant or refuse to renew a tenant’s lease when the tenant is not at fault or in</w:t>
      </w:r>
      <w:r w:rsidR="00321652">
        <w:t xml:space="preserve"> violation</w:t>
      </w:r>
      <w:r w:rsidR="00321652" w:rsidRPr="00321652">
        <w:t xml:space="preserve"> of any law</w:t>
      </w:r>
      <w:r w:rsidR="00673B74">
        <w:t xml:space="preserve"> would reduce evictions, increase housing stability, and further protect tenants from discriminatory and retaliatory non-renewals</w:t>
      </w:r>
      <w:r w:rsidR="00321652">
        <w:t>.</w:t>
      </w:r>
    </w:p>
    <w:p w14:paraId="4E5342F2" w14:textId="7638F96E" w:rsidR="00D16E70" w:rsidRDefault="00D16E70" w:rsidP="00B34899">
      <w:pPr>
        <w:pStyle w:val="ListBullet"/>
        <w:numPr>
          <w:ilvl w:val="0"/>
          <w:numId w:val="0"/>
        </w:numPr>
        <w:jc w:val="both"/>
      </w:pPr>
    </w:p>
    <w:p w14:paraId="5814B32C" w14:textId="1B2698DC" w:rsidR="00D16E70" w:rsidRDefault="00673B74" w:rsidP="00B34899">
      <w:pPr>
        <w:pStyle w:val="ListBullet"/>
        <w:numPr>
          <w:ilvl w:val="0"/>
          <w:numId w:val="0"/>
        </w:numPr>
        <w:jc w:val="both"/>
      </w:pPr>
      <w:r>
        <w:t>The</w:t>
      </w:r>
      <w:r w:rsidR="00AD1404">
        <w:t xml:space="preserve"> implement</w:t>
      </w:r>
      <w:r>
        <w:t>ation of</w:t>
      </w:r>
      <w:r w:rsidR="00AD1404">
        <w:t xml:space="preserve"> strong tenant protections for families living in multifamily homes with federally-backed mortgages</w:t>
      </w:r>
      <w:r w:rsidR="003D31F6">
        <w:t xml:space="preserve"> would greatly benefit Wisconsin renters whose rights have been reduced multiple </w:t>
      </w:r>
      <w:r w:rsidR="003D31F6">
        <w:lastRenderedPageBreak/>
        <w:t>times since 2011</w:t>
      </w:r>
      <w:r w:rsidR="00AD1404">
        <w:t xml:space="preserve">. Moreover, LAW emphasizes the importance of ongoing and effective enforcement of these protections. Thank you for your time and consideration. </w:t>
      </w:r>
    </w:p>
    <w:p w14:paraId="1CB151D6" w14:textId="77777777" w:rsidR="00AD1404" w:rsidRDefault="00AD1404" w:rsidP="00B34899">
      <w:pPr>
        <w:pStyle w:val="ListBullet"/>
        <w:numPr>
          <w:ilvl w:val="0"/>
          <w:numId w:val="0"/>
        </w:numPr>
        <w:jc w:val="both"/>
      </w:pPr>
    </w:p>
    <w:p w14:paraId="17D0F856" w14:textId="77777777" w:rsidR="00D71017" w:rsidRDefault="00D71017" w:rsidP="00D71017">
      <w:pPr>
        <w:pStyle w:val="ListBullet"/>
        <w:numPr>
          <w:ilvl w:val="0"/>
          <w:numId w:val="0"/>
        </w:numPr>
        <w:jc w:val="both"/>
      </w:pPr>
    </w:p>
    <w:p w14:paraId="1BEB175A" w14:textId="6A38F58C" w:rsidR="00D5690C" w:rsidRDefault="00D71017" w:rsidP="004D3E29">
      <w:pPr>
        <w:pStyle w:val="ListBullet"/>
        <w:numPr>
          <w:ilvl w:val="0"/>
          <w:numId w:val="0"/>
        </w:numPr>
        <w:jc w:val="both"/>
      </w:pPr>
      <w:r>
        <w:t>Best,</w:t>
      </w:r>
    </w:p>
    <w:p w14:paraId="7D74855D" w14:textId="77777777" w:rsidR="003D31F6" w:rsidRDefault="003D31F6" w:rsidP="004D3E29">
      <w:pPr>
        <w:pStyle w:val="ListBullet"/>
        <w:numPr>
          <w:ilvl w:val="0"/>
          <w:numId w:val="0"/>
        </w:numPr>
        <w:jc w:val="both"/>
      </w:pPr>
    </w:p>
    <w:p w14:paraId="35F4D224" w14:textId="77777777" w:rsidR="003D31F6" w:rsidRDefault="003D31F6" w:rsidP="004D3E29">
      <w:pPr>
        <w:pStyle w:val="ListBullet"/>
        <w:numPr>
          <w:ilvl w:val="0"/>
          <w:numId w:val="0"/>
        </w:numPr>
        <w:jc w:val="both"/>
      </w:pPr>
    </w:p>
    <w:p w14:paraId="28816F25" w14:textId="3EF09C84" w:rsidR="00D5690C" w:rsidRDefault="00D5690C" w:rsidP="00D5690C">
      <w:r>
        <w:rPr>
          <w:noProof/>
        </w:rPr>
        <w:drawing>
          <wp:inline distT="0" distB="0" distL="0" distR="0" wp14:anchorId="2FB13A76" wp14:editId="3D1C97C9">
            <wp:extent cx="1631950" cy="596770"/>
            <wp:effectExtent l="0" t="0" r="6350" b="0"/>
            <wp:docPr id="1120558150"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558150" name="Picture 1" descr="Text, lett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7966" cy="624568"/>
                    </a:xfrm>
                    <a:prstGeom prst="rect">
                      <a:avLst/>
                    </a:prstGeom>
                  </pic:spPr>
                </pic:pic>
              </a:graphicData>
            </a:graphic>
          </wp:inline>
        </w:drawing>
      </w:r>
    </w:p>
    <w:p w14:paraId="43590AB8" w14:textId="0891A34E" w:rsidR="00D5690C" w:rsidRDefault="00D5690C" w:rsidP="00D5690C">
      <w:r>
        <w:t>Attorney Carmen Ayers</w:t>
      </w:r>
    </w:p>
    <w:p w14:paraId="22014E08" w14:textId="18FDCDD3" w:rsidR="00D5690C" w:rsidRDefault="00D5690C" w:rsidP="00D5690C">
      <w:r>
        <w:t>Housing Priority Coordinator</w:t>
      </w:r>
    </w:p>
    <w:p w14:paraId="057A0EAD" w14:textId="233BA913" w:rsidR="00D5690C" w:rsidRDefault="00D5690C" w:rsidP="00D5690C">
      <w:r>
        <w:t>Legal Action of Wisconsin, Inc.</w:t>
      </w:r>
    </w:p>
    <w:p w14:paraId="63DBD5DC" w14:textId="038E5C44" w:rsidR="00D5690C" w:rsidRDefault="00D5690C" w:rsidP="00D5690C">
      <w:r>
        <w:t>245 Main Street, Suite 202</w:t>
      </w:r>
    </w:p>
    <w:p w14:paraId="60EBE683" w14:textId="2D3DCEC4" w:rsidR="00D5690C" w:rsidRDefault="00D5690C" w:rsidP="00D5690C">
      <w:r>
        <w:t>Racine, WI 53403</w:t>
      </w:r>
    </w:p>
    <w:p w14:paraId="15F9705C" w14:textId="6671C4C9" w:rsidR="00D5690C" w:rsidRDefault="00D5690C" w:rsidP="00D5690C">
      <w:r>
        <w:t>262-635-8836</w:t>
      </w:r>
    </w:p>
    <w:p w14:paraId="07D6B51A" w14:textId="1EB062CD" w:rsidR="00D5690C" w:rsidRDefault="003D31F6" w:rsidP="00D5690C">
      <w:hyperlink r:id="rId8" w:history="1">
        <w:r w:rsidR="00D5690C" w:rsidRPr="00FC1222">
          <w:rPr>
            <w:rStyle w:val="Hyperlink"/>
          </w:rPr>
          <w:t>cla@legalaction.org</w:t>
        </w:r>
      </w:hyperlink>
    </w:p>
    <w:p w14:paraId="138628AC" w14:textId="77777777" w:rsidR="00D5690C" w:rsidRDefault="00D5690C" w:rsidP="00D5690C"/>
    <w:p w14:paraId="7C8BBA0A" w14:textId="77777777" w:rsidR="00D5690C" w:rsidRDefault="00D5690C" w:rsidP="004D3E29">
      <w:pPr>
        <w:pStyle w:val="ListBullet"/>
        <w:numPr>
          <w:ilvl w:val="0"/>
          <w:numId w:val="0"/>
        </w:numPr>
        <w:jc w:val="both"/>
      </w:pPr>
    </w:p>
    <w:p w14:paraId="3D8549E4" w14:textId="77777777" w:rsidR="00C71035" w:rsidRDefault="00C71035" w:rsidP="00C71035">
      <w:pPr>
        <w:pStyle w:val="ListBullet"/>
        <w:numPr>
          <w:ilvl w:val="0"/>
          <w:numId w:val="0"/>
        </w:numPr>
      </w:pPr>
    </w:p>
    <w:p w14:paraId="306E3B69" w14:textId="77777777" w:rsidR="004D6A3B" w:rsidRDefault="004D6A3B" w:rsidP="004D6A3B">
      <w:pPr>
        <w:pStyle w:val="ListBullet"/>
        <w:numPr>
          <w:ilvl w:val="0"/>
          <w:numId w:val="0"/>
        </w:numPr>
        <w:jc w:val="both"/>
      </w:pPr>
      <w:r>
        <w:t>Staff Attorney Niabi Schmaltz</w:t>
      </w:r>
    </w:p>
    <w:p w14:paraId="0FE9E8BD" w14:textId="77777777" w:rsidR="004D6A3B" w:rsidRDefault="004D6A3B" w:rsidP="004D6A3B">
      <w:pPr>
        <w:pStyle w:val="ListBullet"/>
        <w:numPr>
          <w:ilvl w:val="0"/>
          <w:numId w:val="0"/>
        </w:numPr>
        <w:jc w:val="both"/>
      </w:pPr>
      <w:r>
        <w:t>Legal Action of Wisconsin, Inc.</w:t>
      </w:r>
    </w:p>
    <w:p w14:paraId="1B9259FA" w14:textId="77777777" w:rsidR="004D6A3B" w:rsidRDefault="004D6A3B" w:rsidP="004D6A3B">
      <w:pPr>
        <w:pStyle w:val="ListBullet"/>
        <w:numPr>
          <w:ilvl w:val="0"/>
          <w:numId w:val="0"/>
        </w:numPr>
        <w:jc w:val="both"/>
      </w:pPr>
      <w:r>
        <w:t>633 W. Wisconsin Ave., Suite 2000</w:t>
      </w:r>
    </w:p>
    <w:p w14:paraId="589291F4" w14:textId="77777777" w:rsidR="004D6A3B" w:rsidRDefault="004D6A3B" w:rsidP="004D6A3B">
      <w:pPr>
        <w:pStyle w:val="ListBullet"/>
        <w:numPr>
          <w:ilvl w:val="0"/>
          <w:numId w:val="0"/>
        </w:numPr>
        <w:jc w:val="both"/>
      </w:pPr>
      <w:r>
        <w:t>Milwaukee, WI 53203</w:t>
      </w:r>
    </w:p>
    <w:p w14:paraId="09F61815" w14:textId="77777777" w:rsidR="004D6A3B" w:rsidRDefault="004D6A3B" w:rsidP="004D6A3B">
      <w:pPr>
        <w:pStyle w:val="ListBullet"/>
        <w:numPr>
          <w:ilvl w:val="0"/>
          <w:numId w:val="0"/>
        </w:numPr>
        <w:jc w:val="both"/>
      </w:pPr>
      <w:r>
        <w:t xml:space="preserve">414-662-4248                                                                                                                                         </w:t>
      </w:r>
    </w:p>
    <w:p w14:paraId="41069A52" w14:textId="77777777" w:rsidR="004D6A3B" w:rsidRDefault="004D6A3B" w:rsidP="004D6A3B">
      <w:pPr>
        <w:pStyle w:val="ListBullet"/>
        <w:numPr>
          <w:ilvl w:val="0"/>
          <w:numId w:val="0"/>
        </w:numPr>
        <w:jc w:val="both"/>
      </w:pPr>
      <w:hyperlink r:id="rId9" w:history="1">
        <w:r w:rsidRPr="00FC1222">
          <w:rPr>
            <w:rStyle w:val="Hyperlink"/>
          </w:rPr>
          <w:t>nks@legalaction.org</w:t>
        </w:r>
      </w:hyperlink>
    </w:p>
    <w:p w14:paraId="15739D87" w14:textId="77777777" w:rsidR="006B1C6D" w:rsidRDefault="006B1C6D" w:rsidP="0087158A">
      <w:pPr>
        <w:pStyle w:val="Heading2"/>
      </w:pPr>
    </w:p>
    <w:p w14:paraId="55019F09" w14:textId="77777777" w:rsidR="00DC0F29" w:rsidRPr="00DC0F29" w:rsidRDefault="00DC0F29" w:rsidP="00DC0F29"/>
    <w:sectPr w:rsidR="00DC0F29" w:rsidRPr="00DC0F29" w:rsidSect="0044033D">
      <w:headerReference w:type="default" r:id="rId10"/>
      <w:footerReference w:type="default" r:id="rId11"/>
      <w:headerReference w:type="first" r:id="rId12"/>
      <w:footerReference w:type="first" r:id="rId13"/>
      <w:pgSz w:w="12240" w:h="15840"/>
      <w:pgMar w:top="2520" w:right="1440" w:bottom="180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6018B" w14:textId="77777777" w:rsidR="00662364" w:rsidRDefault="00662364" w:rsidP="000E7CC3">
      <w:r>
        <w:separator/>
      </w:r>
    </w:p>
  </w:endnote>
  <w:endnote w:type="continuationSeparator" w:id="0">
    <w:p w14:paraId="04FBD748" w14:textId="77777777" w:rsidR="00662364" w:rsidRDefault="00662364" w:rsidP="000E7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e Regular">
    <w:panose1 w:val="020B0503030202060203"/>
    <w:charset w:val="00"/>
    <w:family w:val="swiss"/>
    <w:pitch w:val="variable"/>
    <w:sig w:usb0="00000007" w:usb1="00000000" w:usb2="00000000" w:usb3="00000000" w:csb0="00000093" w:csb1="00000000"/>
  </w:font>
  <w:font w:name="Arial Regular">
    <w:altName w:val="Arial"/>
    <w:charset w:val="00"/>
    <w:family w:val="roman"/>
    <w:pitch w:val="default"/>
  </w:font>
  <w:font w:name="Minion Pro">
    <w:altName w:val="Minion Pro"/>
    <w:charset w:val="00"/>
    <w:family w:val="roman"/>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6B9D4" w14:textId="77777777" w:rsidR="0087158A" w:rsidRDefault="000828C3">
    <w:pPr>
      <w:pStyle w:val="Footer"/>
    </w:pPr>
    <w:r>
      <w:rPr>
        <w:noProof/>
      </w:rPr>
      <w:drawing>
        <wp:anchor distT="0" distB="0" distL="114300" distR="114300" simplePos="0" relativeHeight="251660288" behindDoc="1" locked="1" layoutInCell="1" allowOverlap="0" wp14:anchorId="10A996B7" wp14:editId="55079DA8">
          <wp:simplePos x="0" y="0"/>
          <wp:positionH relativeFrom="page">
            <wp:posOffset>0</wp:posOffset>
          </wp:positionH>
          <wp:positionV relativeFrom="page">
            <wp:posOffset>9144000</wp:posOffset>
          </wp:positionV>
          <wp:extent cx="7772400" cy="914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772400" cy="914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4469354"/>
      <w:docPartObj>
        <w:docPartGallery w:val="Page Numbers (Bottom of Page)"/>
        <w:docPartUnique/>
      </w:docPartObj>
    </w:sdtPr>
    <w:sdtEndPr>
      <w:rPr>
        <w:rStyle w:val="PageNumber"/>
        <w:color w:val="385CAD"/>
        <w:sz w:val="16"/>
        <w:szCs w:val="16"/>
      </w:rPr>
    </w:sdtEndPr>
    <w:sdtContent>
      <w:p w14:paraId="5290F480" w14:textId="77777777" w:rsidR="00B16E3B" w:rsidRDefault="00B16E3B" w:rsidP="00D526A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E00BA0E" w14:textId="77777777" w:rsidR="00B16E3B" w:rsidRDefault="00B16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FB662" w14:textId="77777777" w:rsidR="00662364" w:rsidRDefault="00662364" w:rsidP="000E7CC3">
      <w:r>
        <w:separator/>
      </w:r>
    </w:p>
  </w:footnote>
  <w:footnote w:type="continuationSeparator" w:id="0">
    <w:p w14:paraId="4DC71BF2" w14:textId="77777777" w:rsidR="00662364" w:rsidRDefault="00662364" w:rsidP="000E7CC3">
      <w:r>
        <w:continuationSeparator/>
      </w:r>
    </w:p>
  </w:footnote>
  <w:footnote w:id="1">
    <w:p w14:paraId="33E2F8EB" w14:textId="06D9AB80" w:rsidR="00646E5E" w:rsidRPr="00646E5E" w:rsidRDefault="00646E5E" w:rsidP="00646E5E">
      <w:pPr>
        <w:pStyle w:val="FootnoteText"/>
      </w:pPr>
      <w:r>
        <w:rPr>
          <w:rStyle w:val="FootnoteReference"/>
        </w:rPr>
        <w:footnoteRef/>
      </w:r>
      <w:r>
        <w:t xml:space="preserve"> Jaboa Lake &amp; Leni Tupper, </w:t>
      </w:r>
      <w:r w:rsidRPr="00646E5E">
        <w:rPr>
          <w:i/>
          <w:iCs/>
        </w:rPr>
        <w:t>Eviction Record Expungement Can Remove Barriers to Stable Housing</w:t>
      </w:r>
      <w:r w:rsidR="004E7DFC">
        <w:t xml:space="preserve">, Center for American Progress (Sept. 30, 2021), </w:t>
      </w:r>
      <w:r w:rsidR="004E7DFC" w:rsidRPr="004E7DFC">
        <w:t>https://www.americanprogress.org/article/eviction-record-expungement-can-remove-barriers-stable-housing/</w:t>
      </w:r>
      <w:r w:rsidR="004E7DFC">
        <w:t>.</w:t>
      </w:r>
    </w:p>
  </w:footnote>
  <w:footnote w:id="2">
    <w:p w14:paraId="01E39D54" w14:textId="01EFB44D" w:rsidR="00D2146D" w:rsidRDefault="00D2146D">
      <w:pPr>
        <w:pStyle w:val="FootnoteText"/>
      </w:pPr>
      <w:r>
        <w:rPr>
          <w:rStyle w:val="FootnoteReference"/>
        </w:rPr>
        <w:footnoteRef/>
      </w:r>
      <w:r>
        <w:t xml:space="preserve"> </w:t>
      </w:r>
      <w:r w:rsidRPr="00D2146D">
        <w:t>Reclaiming Our Neighborhoods, 2022 Milwaukee Housing Condition Report 5 (Apr. 2023</w:t>
      </w:r>
      <w:r>
        <w:t xml:space="preserve">), </w:t>
      </w:r>
      <w:r w:rsidR="00FD1466" w:rsidRPr="00FD1466">
        <w:t>https://www.datayoucanuse.org/wp-content/uploads/2023/04/RON-2022-Housing-Conditions-Report-Full-Report-20230424.pdf</w:t>
      </w:r>
      <w:r w:rsidR="00FD1466">
        <w:t>.</w:t>
      </w:r>
    </w:p>
  </w:footnote>
  <w:footnote w:id="3">
    <w:p w14:paraId="5AE44C93" w14:textId="77777777" w:rsidR="00D2146D" w:rsidRDefault="00D2146D" w:rsidP="00D2146D">
      <w:pPr>
        <w:pStyle w:val="FootnoteText"/>
      </w:pPr>
      <w:r>
        <w:rPr>
          <w:rStyle w:val="FootnoteReference"/>
        </w:rPr>
        <w:footnoteRef/>
      </w:r>
      <w:r>
        <w:t xml:space="preserve"> Talis Shelbourne, </w:t>
      </w:r>
      <w:r w:rsidRPr="00D2146D">
        <w:rPr>
          <w:i/>
          <w:iCs/>
        </w:rPr>
        <w:t>'Who wants to take a hot shower in mold?' Substandard housing promotes asthma 'triggers,' and getting help can be a nightmare</w:t>
      </w:r>
      <w:r>
        <w:t xml:space="preserve">, Milwaukee Journal Sentinel (Aug. 29, 2022), </w:t>
      </w:r>
      <w:hyperlink r:id="rId1" w:history="1">
        <w:r w:rsidRPr="00AB3216">
          <w:rPr>
            <w:rStyle w:val="Hyperlink"/>
          </w:rPr>
          <w:t>https://www.jsonline.com/in-depth/news/health/2022/08/29/milwaukee-rentals-can-breeding-ground-asthma-triggers/10098504002/</w:t>
        </w:r>
      </w:hyperlink>
      <w:r>
        <w:t>; Alison Dirr</w:t>
      </w:r>
    </w:p>
    <w:p w14:paraId="4235392A" w14:textId="7B5A20F9" w:rsidR="00D2146D" w:rsidRPr="00D2146D" w:rsidRDefault="00D2146D" w:rsidP="00D2146D">
      <w:pPr>
        <w:pStyle w:val="FootnoteText"/>
      </w:pPr>
      <w:r>
        <w:t xml:space="preserve">&amp; Mary Spicuzza, </w:t>
      </w:r>
      <w:r w:rsidRPr="00D2146D">
        <w:rPr>
          <w:i/>
          <w:iCs/>
        </w:rPr>
        <w:t>Wisconsin's Black children 4 times more likely to be lead poisoned than white children in 2022</w:t>
      </w:r>
      <w:r>
        <w:t xml:space="preserve">, Milwaukee Journal Sentinel (Apr. 21, 2023), </w:t>
      </w:r>
      <w:r w:rsidRPr="00D2146D">
        <w:t>https://www.jsonline.com/story/news/politics/2023/04/21/lead-poisoning-4-times-more-likely-for-black-kids-in-wisconsin/70139003007/</w:t>
      </w:r>
      <w:r>
        <w:t>.</w:t>
      </w:r>
    </w:p>
  </w:footnote>
  <w:footnote w:id="4">
    <w:p w14:paraId="1E443C25" w14:textId="794AC9C9" w:rsidR="00D2146D" w:rsidRPr="00D2146D" w:rsidRDefault="00D2146D">
      <w:pPr>
        <w:pStyle w:val="FootnoteText"/>
      </w:pPr>
      <w:r>
        <w:rPr>
          <w:rStyle w:val="FootnoteReference"/>
        </w:rPr>
        <w:footnoteRef/>
      </w:r>
      <w:r>
        <w:t xml:space="preserve"> </w:t>
      </w:r>
      <w:r>
        <w:rPr>
          <w:i/>
          <w:iCs/>
        </w:rPr>
        <w:t>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16347" w14:textId="77777777" w:rsidR="0087158A" w:rsidRDefault="00B870BF">
    <w:pPr>
      <w:pStyle w:val="Header"/>
    </w:pPr>
    <w:r>
      <w:rPr>
        <w:noProof/>
      </w:rPr>
      <w:drawing>
        <wp:anchor distT="0" distB="0" distL="114300" distR="114300" simplePos="0" relativeHeight="251659264" behindDoc="1" locked="1" layoutInCell="1" allowOverlap="0" wp14:anchorId="2C87E2D7" wp14:editId="74162580">
          <wp:simplePos x="0" y="0"/>
          <wp:positionH relativeFrom="page">
            <wp:posOffset>0</wp:posOffset>
          </wp:positionH>
          <wp:positionV relativeFrom="page">
            <wp:posOffset>228600</wp:posOffset>
          </wp:positionV>
          <wp:extent cx="7772400" cy="1207008"/>
          <wp:effectExtent l="0" t="0" r="0" b="0"/>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20700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15EDD" w14:textId="77777777" w:rsidR="00B16E3B" w:rsidRPr="00481B79" w:rsidRDefault="0087158A" w:rsidP="00481B79">
    <w:pPr>
      <w:pStyle w:val="BasicParagraph"/>
      <w:jc w:val="center"/>
      <w:rPr>
        <w:rFonts w:ascii="Calibre Regular" w:hAnsi="Calibre Regular" w:cs="Calibre Regular"/>
        <w:i/>
        <w:iCs/>
        <w:color w:val="385CAD"/>
        <w:sz w:val="15"/>
        <w:szCs w:val="15"/>
      </w:rPr>
    </w:pPr>
    <w:r>
      <w:rPr>
        <w:rFonts w:ascii="Calibre Regular" w:hAnsi="Calibre Regular" w:cs="Calibre Regular"/>
        <w:i/>
        <w:iCs/>
        <w:noProof/>
        <w:color w:val="385CAD"/>
        <w:sz w:val="15"/>
        <w:szCs w:val="15"/>
      </w:rPr>
      <w:drawing>
        <wp:anchor distT="0" distB="0" distL="114300" distR="114300" simplePos="0" relativeHeight="251658240" behindDoc="1" locked="1" layoutInCell="1" allowOverlap="0" wp14:anchorId="20381232" wp14:editId="221ECBAD">
          <wp:simplePos x="0" y="0"/>
          <wp:positionH relativeFrom="page">
            <wp:posOffset>0</wp:posOffset>
          </wp:positionH>
          <wp:positionV relativeFrom="page">
            <wp:posOffset>0</wp:posOffset>
          </wp:positionV>
          <wp:extent cx="7836408" cy="1216152"/>
          <wp:effectExtent l="0" t="0" r="0" b="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36408" cy="121615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6087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996EC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A9CD59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95098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A4AD2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E56DA4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BE689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326A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3C8E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E184F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0E8224A"/>
    <w:multiLevelType w:val="hybridMultilevel"/>
    <w:tmpl w:val="8780D86E"/>
    <w:lvl w:ilvl="0" w:tplc="A870406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856F07"/>
    <w:multiLevelType w:val="multilevel"/>
    <w:tmpl w:val="0409001F"/>
    <w:lvl w:ilvl="0">
      <w:start w:val="1"/>
      <w:numFmt w:val="bullet"/>
      <w:lvlText w:val=""/>
      <w:lvlJc w:val="left"/>
      <w:pPr>
        <w:ind w:left="360" w:hanging="360"/>
      </w:pPr>
      <w:rPr>
        <w:rFonts w:ascii="Symbol" w:hAnsi="Symbol" w:hint="default"/>
        <w:color w:val="auto"/>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D99025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71802514">
    <w:abstractNumId w:val="12"/>
  </w:num>
  <w:num w:numId="2" w16cid:durableId="362481431">
    <w:abstractNumId w:val="11"/>
  </w:num>
  <w:num w:numId="3" w16cid:durableId="477495701">
    <w:abstractNumId w:val="0"/>
  </w:num>
  <w:num w:numId="4" w16cid:durableId="97216797">
    <w:abstractNumId w:val="1"/>
  </w:num>
  <w:num w:numId="5" w16cid:durableId="126554126">
    <w:abstractNumId w:val="2"/>
  </w:num>
  <w:num w:numId="6" w16cid:durableId="306905521">
    <w:abstractNumId w:val="3"/>
  </w:num>
  <w:num w:numId="7" w16cid:durableId="1197083545">
    <w:abstractNumId w:val="8"/>
  </w:num>
  <w:num w:numId="8" w16cid:durableId="1818689932">
    <w:abstractNumId w:val="4"/>
  </w:num>
  <w:num w:numId="9" w16cid:durableId="1114209507">
    <w:abstractNumId w:val="5"/>
  </w:num>
  <w:num w:numId="10" w16cid:durableId="40908734">
    <w:abstractNumId w:val="6"/>
  </w:num>
  <w:num w:numId="11" w16cid:durableId="2093622345">
    <w:abstractNumId w:val="7"/>
  </w:num>
  <w:num w:numId="12" w16cid:durableId="1516190259">
    <w:abstractNumId w:val="9"/>
  </w:num>
  <w:num w:numId="13" w16cid:durableId="11877958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785"/>
    <w:rsid w:val="000100A6"/>
    <w:rsid w:val="00015501"/>
    <w:rsid w:val="00055325"/>
    <w:rsid w:val="00055A11"/>
    <w:rsid w:val="000828C3"/>
    <w:rsid w:val="000B1F68"/>
    <w:rsid w:val="000E7CC3"/>
    <w:rsid w:val="00106C76"/>
    <w:rsid w:val="0016374D"/>
    <w:rsid w:val="0018020B"/>
    <w:rsid w:val="00197A65"/>
    <w:rsid w:val="001E42DD"/>
    <w:rsid w:val="00232D94"/>
    <w:rsid w:val="00253FC9"/>
    <w:rsid w:val="00290D35"/>
    <w:rsid w:val="002A04D9"/>
    <w:rsid w:val="002B0C18"/>
    <w:rsid w:val="002E406F"/>
    <w:rsid w:val="00302B13"/>
    <w:rsid w:val="00321652"/>
    <w:rsid w:val="00327BE6"/>
    <w:rsid w:val="00393D61"/>
    <w:rsid w:val="0039721A"/>
    <w:rsid w:val="003B11E4"/>
    <w:rsid w:val="003B5BE3"/>
    <w:rsid w:val="003C09B6"/>
    <w:rsid w:val="003C2C58"/>
    <w:rsid w:val="003D31F6"/>
    <w:rsid w:val="0044033D"/>
    <w:rsid w:val="00471372"/>
    <w:rsid w:val="00481B79"/>
    <w:rsid w:val="004A296F"/>
    <w:rsid w:val="004D3E29"/>
    <w:rsid w:val="004D6A3B"/>
    <w:rsid w:val="004D7271"/>
    <w:rsid w:val="004E7DFC"/>
    <w:rsid w:val="00505424"/>
    <w:rsid w:val="00510E45"/>
    <w:rsid w:val="0054385A"/>
    <w:rsid w:val="00544F4E"/>
    <w:rsid w:val="00566BFF"/>
    <w:rsid w:val="00577FC4"/>
    <w:rsid w:val="00585CE6"/>
    <w:rsid w:val="005C4BBE"/>
    <w:rsid w:val="00623CA7"/>
    <w:rsid w:val="00646E5E"/>
    <w:rsid w:val="00662364"/>
    <w:rsid w:val="00670A91"/>
    <w:rsid w:val="00673B74"/>
    <w:rsid w:val="00682878"/>
    <w:rsid w:val="00683F89"/>
    <w:rsid w:val="0069637B"/>
    <w:rsid w:val="006B1C6D"/>
    <w:rsid w:val="006E0AD9"/>
    <w:rsid w:val="0070311C"/>
    <w:rsid w:val="0075599A"/>
    <w:rsid w:val="007A67EB"/>
    <w:rsid w:val="007B0316"/>
    <w:rsid w:val="007C30EF"/>
    <w:rsid w:val="007D15F9"/>
    <w:rsid w:val="007D1D24"/>
    <w:rsid w:val="008011F7"/>
    <w:rsid w:val="0087158A"/>
    <w:rsid w:val="008930C7"/>
    <w:rsid w:val="00894A2B"/>
    <w:rsid w:val="008B47E0"/>
    <w:rsid w:val="008D24F4"/>
    <w:rsid w:val="008D4A43"/>
    <w:rsid w:val="008F0EDE"/>
    <w:rsid w:val="00911D02"/>
    <w:rsid w:val="00923545"/>
    <w:rsid w:val="00926083"/>
    <w:rsid w:val="009662B2"/>
    <w:rsid w:val="009746D0"/>
    <w:rsid w:val="0099411A"/>
    <w:rsid w:val="009F0FA2"/>
    <w:rsid w:val="00A36D65"/>
    <w:rsid w:val="00A91C20"/>
    <w:rsid w:val="00AC74EE"/>
    <w:rsid w:val="00AD1404"/>
    <w:rsid w:val="00AD1744"/>
    <w:rsid w:val="00AE340B"/>
    <w:rsid w:val="00B16E3B"/>
    <w:rsid w:val="00B3004D"/>
    <w:rsid w:val="00B34899"/>
    <w:rsid w:val="00B4646B"/>
    <w:rsid w:val="00B70C68"/>
    <w:rsid w:val="00B8335B"/>
    <w:rsid w:val="00B870BF"/>
    <w:rsid w:val="00BC37CD"/>
    <w:rsid w:val="00BC7506"/>
    <w:rsid w:val="00BD1603"/>
    <w:rsid w:val="00C20441"/>
    <w:rsid w:val="00C53B3F"/>
    <w:rsid w:val="00C71035"/>
    <w:rsid w:val="00C872F4"/>
    <w:rsid w:val="00CB170C"/>
    <w:rsid w:val="00CB53D4"/>
    <w:rsid w:val="00D16E70"/>
    <w:rsid w:val="00D2146D"/>
    <w:rsid w:val="00D454DD"/>
    <w:rsid w:val="00D5690C"/>
    <w:rsid w:val="00D610A0"/>
    <w:rsid w:val="00D62C0D"/>
    <w:rsid w:val="00D65526"/>
    <w:rsid w:val="00D71017"/>
    <w:rsid w:val="00DC0F29"/>
    <w:rsid w:val="00DF7B83"/>
    <w:rsid w:val="00E15DE6"/>
    <w:rsid w:val="00E30EB6"/>
    <w:rsid w:val="00E57EB1"/>
    <w:rsid w:val="00EA05E4"/>
    <w:rsid w:val="00EA6C37"/>
    <w:rsid w:val="00EC2F63"/>
    <w:rsid w:val="00ED0785"/>
    <w:rsid w:val="00ED0B66"/>
    <w:rsid w:val="00EE1DC8"/>
    <w:rsid w:val="00F02950"/>
    <w:rsid w:val="00F208AA"/>
    <w:rsid w:val="00F37611"/>
    <w:rsid w:val="00F56C05"/>
    <w:rsid w:val="00F94945"/>
    <w:rsid w:val="00F975AF"/>
    <w:rsid w:val="00FA2C58"/>
    <w:rsid w:val="00FA5D2D"/>
    <w:rsid w:val="00FD1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6793E"/>
  <w15:chartTrackingRefBased/>
  <w15:docId w15:val="{7F0DCBA3-9DCB-4DBE-9F77-D91D3789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A05E4"/>
    <w:rPr>
      <w:rFonts w:ascii="Calibre Regular" w:hAnsi="Calibre Regular"/>
    </w:rPr>
  </w:style>
  <w:style w:type="paragraph" w:styleId="Heading1">
    <w:name w:val="heading 1"/>
    <w:basedOn w:val="Normal"/>
    <w:next w:val="Normal"/>
    <w:link w:val="Heading1Char"/>
    <w:uiPriority w:val="9"/>
    <w:qFormat/>
    <w:rsid w:val="00EA05E4"/>
    <w:pPr>
      <w:keepNext/>
      <w:keepLines/>
      <w:spacing w:before="120" w:after="240"/>
      <w:jc w:val="center"/>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EA05E4"/>
    <w:pPr>
      <w:keepNext/>
      <w:keepLines/>
      <w:spacing w:before="40" w:after="240"/>
      <w:outlineLvl w:val="1"/>
    </w:pPr>
    <w:rPr>
      <w:rFonts w:eastAsiaTheme="majorEastAsia" w:cstheme="majorBidi"/>
      <w:color w:val="000000" w:themeColor="text1"/>
      <w:sz w:val="28"/>
      <w:szCs w:val="26"/>
    </w:rPr>
  </w:style>
  <w:style w:type="paragraph" w:styleId="Heading3">
    <w:name w:val="heading 3"/>
    <w:basedOn w:val="Normal"/>
    <w:next w:val="Normal"/>
    <w:link w:val="Heading3Char"/>
    <w:uiPriority w:val="9"/>
    <w:unhideWhenUsed/>
    <w:qFormat/>
    <w:rsid w:val="00BC750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EA05E4"/>
    <w:pPr>
      <w:spacing w:after="240"/>
    </w:pPr>
    <w:rPr>
      <w:rFonts w:eastAsiaTheme="minorEastAsia" w:cs="Arial Regular"/>
      <w:color w:val="262425"/>
      <w:szCs w:val="19"/>
      <w:u w:color="000000"/>
      <w:lang w:eastAsia="ja-JP"/>
    </w:rPr>
  </w:style>
  <w:style w:type="numbering" w:styleId="111111">
    <w:name w:val="Outline List 2"/>
    <w:aliases w:val="Table Bullet List"/>
    <w:basedOn w:val="NoList"/>
    <w:uiPriority w:val="99"/>
    <w:semiHidden/>
    <w:unhideWhenUsed/>
    <w:rsid w:val="007A67EB"/>
    <w:pPr>
      <w:numPr>
        <w:numId w:val="1"/>
      </w:numPr>
    </w:pPr>
  </w:style>
  <w:style w:type="paragraph" w:styleId="Header">
    <w:name w:val="header"/>
    <w:basedOn w:val="Normal"/>
    <w:link w:val="HeaderChar"/>
    <w:uiPriority w:val="99"/>
    <w:unhideWhenUsed/>
    <w:rsid w:val="000E7CC3"/>
    <w:pPr>
      <w:tabs>
        <w:tab w:val="center" w:pos="4680"/>
        <w:tab w:val="right" w:pos="9360"/>
      </w:tabs>
    </w:pPr>
  </w:style>
  <w:style w:type="character" w:customStyle="1" w:styleId="HeaderChar">
    <w:name w:val="Header Char"/>
    <w:basedOn w:val="DefaultParagraphFont"/>
    <w:link w:val="Header"/>
    <w:uiPriority w:val="99"/>
    <w:rsid w:val="000E7CC3"/>
  </w:style>
  <w:style w:type="paragraph" w:styleId="Footer">
    <w:name w:val="footer"/>
    <w:basedOn w:val="Normal"/>
    <w:link w:val="FooterChar"/>
    <w:uiPriority w:val="99"/>
    <w:unhideWhenUsed/>
    <w:rsid w:val="000E7CC3"/>
    <w:pPr>
      <w:tabs>
        <w:tab w:val="center" w:pos="4680"/>
        <w:tab w:val="right" w:pos="9360"/>
      </w:tabs>
    </w:pPr>
  </w:style>
  <w:style w:type="character" w:customStyle="1" w:styleId="FooterChar">
    <w:name w:val="Footer Char"/>
    <w:basedOn w:val="DefaultParagraphFont"/>
    <w:link w:val="Footer"/>
    <w:uiPriority w:val="99"/>
    <w:rsid w:val="000E7CC3"/>
  </w:style>
  <w:style w:type="paragraph" w:customStyle="1" w:styleId="BasicParagraph">
    <w:name w:val="[Basic Paragraph]"/>
    <w:basedOn w:val="Normal"/>
    <w:uiPriority w:val="99"/>
    <w:rsid w:val="000E7CC3"/>
    <w:pPr>
      <w:autoSpaceDE w:val="0"/>
      <w:autoSpaceDN w:val="0"/>
      <w:adjustRightInd w:val="0"/>
      <w:spacing w:line="288" w:lineRule="auto"/>
      <w:textAlignment w:val="center"/>
    </w:pPr>
    <w:rPr>
      <w:rFonts w:ascii="Minion Pro" w:hAnsi="Minion Pro" w:cs="Minion Pro"/>
      <w:color w:val="000000"/>
    </w:rPr>
  </w:style>
  <w:style w:type="character" w:styleId="PageNumber">
    <w:name w:val="page number"/>
    <w:basedOn w:val="DefaultParagraphFont"/>
    <w:uiPriority w:val="99"/>
    <w:semiHidden/>
    <w:unhideWhenUsed/>
    <w:rsid w:val="00AC74EE"/>
  </w:style>
  <w:style w:type="character" w:customStyle="1" w:styleId="Heading1Char">
    <w:name w:val="Heading 1 Char"/>
    <w:basedOn w:val="DefaultParagraphFont"/>
    <w:link w:val="Heading1"/>
    <w:uiPriority w:val="9"/>
    <w:rsid w:val="00EA05E4"/>
    <w:rPr>
      <w:rFonts w:ascii="Calibre Regular" w:eastAsiaTheme="majorEastAsia" w:hAnsi="Calibre Regular" w:cstheme="majorBidi"/>
      <w:color w:val="000000" w:themeColor="text1"/>
      <w:sz w:val="32"/>
      <w:szCs w:val="32"/>
    </w:rPr>
  </w:style>
  <w:style w:type="character" w:customStyle="1" w:styleId="Heading2Char">
    <w:name w:val="Heading 2 Char"/>
    <w:basedOn w:val="DefaultParagraphFont"/>
    <w:link w:val="Heading2"/>
    <w:uiPriority w:val="9"/>
    <w:rsid w:val="00EA05E4"/>
    <w:rPr>
      <w:rFonts w:ascii="Calibre Regular" w:eastAsiaTheme="majorEastAsia" w:hAnsi="Calibre Regular" w:cstheme="majorBidi"/>
      <w:color w:val="000000" w:themeColor="text1"/>
      <w:sz w:val="28"/>
      <w:szCs w:val="26"/>
    </w:rPr>
  </w:style>
  <w:style w:type="character" w:customStyle="1" w:styleId="Heading3Char">
    <w:name w:val="Heading 3 Char"/>
    <w:basedOn w:val="DefaultParagraphFont"/>
    <w:link w:val="Heading3"/>
    <w:uiPriority w:val="9"/>
    <w:rsid w:val="00BC7506"/>
    <w:rPr>
      <w:rFonts w:asciiTheme="majorHAnsi" w:eastAsiaTheme="majorEastAsia" w:hAnsiTheme="majorHAnsi" w:cstheme="majorBidi"/>
      <w:color w:val="1F3763" w:themeColor="accent1" w:themeShade="7F"/>
    </w:rPr>
  </w:style>
  <w:style w:type="paragraph" w:styleId="Title">
    <w:name w:val="Title"/>
    <w:basedOn w:val="Normal"/>
    <w:next w:val="Normal"/>
    <w:link w:val="TitleChar"/>
    <w:uiPriority w:val="10"/>
    <w:qFormat/>
    <w:rsid w:val="00BC750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7506"/>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BC7506"/>
    <w:pPr>
      <w:spacing w:after="100"/>
    </w:pPr>
  </w:style>
  <w:style w:type="paragraph" w:styleId="ListBullet">
    <w:name w:val="List Bullet"/>
    <w:basedOn w:val="Normal"/>
    <w:uiPriority w:val="99"/>
    <w:unhideWhenUsed/>
    <w:rsid w:val="00EA05E4"/>
    <w:pPr>
      <w:numPr>
        <w:numId w:val="12"/>
      </w:numPr>
      <w:spacing w:before="40"/>
      <w:ind w:left="720"/>
      <w:contextualSpacing/>
    </w:pPr>
  </w:style>
  <w:style w:type="paragraph" w:styleId="ListBullet2">
    <w:name w:val="List Bullet 2"/>
    <w:basedOn w:val="Normal"/>
    <w:uiPriority w:val="99"/>
    <w:unhideWhenUsed/>
    <w:rsid w:val="00BC7506"/>
    <w:pPr>
      <w:numPr>
        <w:numId w:val="11"/>
      </w:numPr>
      <w:contextualSpacing/>
    </w:pPr>
  </w:style>
  <w:style w:type="paragraph" w:styleId="ListBullet3">
    <w:name w:val="List Bullet 3"/>
    <w:basedOn w:val="Normal"/>
    <w:uiPriority w:val="99"/>
    <w:unhideWhenUsed/>
    <w:rsid w:val="00BC7506"/>
    <w:pPr>
      <w:numPr>
        <w:numId w:val="10"/>
      </w:numPr>
      <w:contextualSpacing/>
    </w:pPr>
  </w:style>
  <w:style w:type="paragraph" w:styleId="ListBullet4">
    <w:name w:val="List Bullet 4"/>
    <w:basedOn w:val="Normal"/>
    <w:uiPriority w:val="99"/>
    <w:unhideWhenUsed/>
    <w:rsid w:val="00BC7506"/>
    <w:pPr>
      <w:numPr>
        <w:numId w:val="9"/>
      </w:numPr>
      <w:contextualSpacing/>
    </w:pPr>
  </w:style>
  <w:style w:type="paragraph" w:styleId="FootnoteText">
    <w:name w:val="footnote text"/>
    <w:basedOn w:val="Normal"/>
    <w:link w:val="FootnoteTextChar"/>
    <w:uiPriority w:val="99"/>
    <w:semiHidden/>
    <w:unhideWhenUsed/>
    <w:rsid w:val="005C4BBE"/>
    <w:rPr>
      <w:sz w:val="20"/>
      <w:szCs w:val="20"/>
    </w:rPr>
  </w:style>
  <w:style w:type="character" w:customStyle="1" w:styleId="FootnoteTextChar">
    <w:name w:val="Footnote Text Char"/>
    <w:basedOn w:val="DefaultParagraphFont"/>
    <w:link w:val="FootnoteText"/>
    <w:uiPriority w:val="99"/>
    <w:semiHidden/>
    <w:rsid w:val="005C4BBE"/>
    <w:rPr>
      <w:rFonts w:ascii="Calibre Regular" w:hAnsi="Calibre Regular"/>
      <w:sz w:val="20"/>
      <w:szCs w:val="20"/>
    </w:rPr>
  </w:style>
  <w:style w:type="character" w:styleId="FootnoteReference">
    <w:name w:val="footnote reference"/>
    <w:basedOn w:val="DefaultParagraphFont"/>
    <w:uiPriority w:val="99"/>
    <w:semiHidden/>
    <w:unhideWhenUsed/>
    <w:rsid w:val="005C4BBE"/>
    <w:rPr>
      <w:vertAlign w:val="superscript"/>
    </w:rPr>
  </w:style>
  <w:style w:type="paragraph" w:styleId="ListParagraph">
    <w:name w:val="List Paragraph"/>
    <w:basedOn w:val="Normal"/>
    <w:uiPriority w:val="34"/>
    <w:qFormat/>
    <w:rsid w:val="007D15F9"/>
    <w:pPr>
      <w:ind w:left="720"/>
      <w:contextualSpacing/>
    </w:pPr>
  </w:style>
  <w:style w:type="character" w:styleId="Hyperlink">
    <w:name w:val="Hyperlink"/>
    <w:basedOn w:val="DefaultParagraphFont"/>
    <w:uiPriority w:val="99"/>
    <w:unhideWhenUsed/>
    <w:rsid w:val="00D2146D"/>
    <w:rPr>
      <w:color w:val="0563C1" w:themeColor="hyperlink"/>
      <w:u w:val="single"/>
    </w:rPr>
  </w:style>
  <w:style w:type="character" w:styleId="UnresolvedMention">
    <w:name w:val="Unresolved Mention"/>
    <w:basedOn w:val="DefaultParagraphFont"/>
    <w:uiPriority w:val="99"/>
    <w:rsid w:val="00D21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22914">
      <w:bodyDiv w:val="1"/>
      <w:marLeft w:val="0"/>
      <w:marRight w:val="0"/>
      <w:marTop w:val="0"/>
      <w:marBottom w:val="0"/>
      <w:divBdr>
        <w:top w:val="none" w:sz="0" w:space="0" w:color="auto"/>
        <w:left w:val="none" w:sz="0" w:space="0" w:color="auto"/>
        <w:bottom w:val="none" w:sz="0" w:space="0" w:color="auto"/>
        <w:right w:val="none" w:sz="0" w:space="0" w:color="auto"/>
      </w:divBdr>
    </w:div>
    <w:div w:id="214245676">
      <w:bodyDiv w:val="1"/>
      <w:marLeft w:val="0"/>
      <w:marRight w:val="0"/>
      <w:marTop w:val="0"/>
      <w:marBottom w:val="0"/>
      <w:divBdr>
        <w:top w:val="none" w:sz="0" w:space="0" w:color="auto"/>
        <w:left w:val="none" w:sz="0" w:space="0" w:color="auto"/>
        <w:bottom w:val="none" w:sz="0" w:space="0" w:color="auto"/>
        <w:right w:val="none" w:sz="0" w:space="0" w:color="auto"/>
      </w:divBdr>
    </w:div>
    <w:div w:id="642350467">
      <w:bodyDiv w:val="1"/>
      <w:marLeft w:val="0"/>
      <w:marRight w:val="0"/>
      <w:marTop w:val="0"/>
      <w:marBottom w:val="0"/>
      <w:divBdr>
        <w:top w:val="none" w:sz="0" w:space="0" w:color="auto"/>
        <w:left w:val="none" w:sz="0" w:space="0" w:color="auto"/>
        <w:bottom w:val="none" w:sz="0" w:space="0" w:color="auto"/>
        <w:right w:val="none" w:sz="0" w:space="0" w:color="auto"/>
      </w:divBdr>
      <w:divsChild>
        <w:div w:id="2113089260">
          <w:marLeft w:val="0"/>
          <w:marRight w:val="0"/>
          <w:marTop w:val="330"/>
          <w:marBottom w:val="120"/>
          <w:divBdr>
            <w:top w:val="none" w:sz="0" w:space="0" w:color="auto"/>
            <w:left w:val="none" w:sz="0" w:space="0" w:color="auto"/>
            <w:bottom w:val="none" w:sz="0" w:space="0" w:color="auto"/>
            <w:right w:val="none" w:sz="0" w:space="0" w:color="auto"/>
          </w:divBdr>
          <w:divsChild>
            <w:div w:id="94516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70464">
      <w:bodyDiv w:val="1"/>
      <w:marLeft w:val="0"/>
      <w:marRight w:val="0"/>
      <w:marTop w:val="0"/>
      <w:marBottom w:val="0"/>
      <w:divBdr>
        <w:top w:val="none" w:sz="0" w:space="0" w:color="auto"/>
        <w:left w:val="none" w:sz="0" w:space="0" w:color="auto"/>
        <w:bottom w:val="none" w:sz="0" w:space="0" w:color="auto"/>
        <w:right w:val="none" w:sz="0" w:space="0" w:color="auto"/>
      </w:divBdr>
    </w:div>
    <w:div w:id="1228686562">
      <w:bodyDiv w:val="1"/>
      <w:marLeft w:val="0"/>
      <w:marRight w:val="0"/>
      <w:marTop w:val="0"/>
      <w:marBottom w:val="0"/>
      <w:divBdr>
        <w:top w:val="none" w:sz="0" w:space="0" w:color="auto"/>
        <w:left w:val="none" w:sz="0" w:space="0" w:color="auto"/>
        <w:bottom w:val="none" w:sz="0" w:space="0" w:color="auto"/>
        <w:right w:val="none" w:sz="0" w:space="0" w:color="auto"/>
      </w:divBdr>
    </w:div>
    <w:div w:id="1295214234">
      <w:bodyDiv w:val="1"/>
      <w:marLeft w:val="0"/>
      <w:marRight w:val="0"/>
      <w:marTop w:val="0"/>
      <w:marBottom w:val="0"/>
      <w:divBdr>
        <w:top w:val="none" w:sz="0" w:space="0" w:color="auto"/>
        <w:left w:val="none" w:sz="0" w:space="0" w:color="auto"/>
        <w:bottom w:val="none" w:sz="0" w:space="0" w:color="auto"/>
        <w:right w:val="none" w:sz="0" w:space="0" w:color="auto"/>
      </w:divBdr>
    </w:div>
    <w:div w:id="1361054604">
      <w:bodyDiv w:val="1"/>
      <w:marLeft w:val="0"/>
      <w:marRight w:val="0"/>
      <w:marTop w:val="0"/>
      <w:marBottom w:val="0"/>
      <w:divBdr>
        <w:top w:val="none" w:sz="0" w:space="0" w:color="auto"/>
        <w:left w:val="none" w:sz="0" w:space="0" w:color="auto"/>
        <w:bottom w:val="none" w:sz="0" w:space="0" w:color="auto"/>
        <w:right w:val="none" w:sz="0" w:space="0" w:color="auto"/>
      </w:divBdr>
      <w:divsChild>
        <w:div w:id="143162015">
          <w:marLeft w:val="0"/>
          <w:marRight w:val="0"/>
          <w:marTop w:val="330"/>
          <w:marBottom w:val="120"/>
          <w:divBdr>
            <w:top w:val="none" w:sz="0" w:space="0" w:color="auto"/>
            <w:left w:val="none" w:sz="0" w:space="0" w:color="auto"/>
            <w:bottom w:val="none" w:sz="0" w:space="0" w:color="auto"/>
            <w:right w:val="none" w:sz="0" w:space="0" w:color="auto"/>
          </w:divBdr>
          <w:divsChild>
            <w:div w:id="188051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83232">
      <w:bodyDiv w:val="1"/>
      <w:marLeft w:val="0"/>
      <w:marRight w:val="0"/>
      <w:marTop w:val="0"/>
      <w:marBottom w:val="0"/>
      <w:divBdr>
        <w:top w:val="none" w:sz="0" w:space="0" w:color="auto"/>
        <w:left w:val="none" w:sz="0" w:space="0" w:color="auto"/>
        <w:bottom w:val="none" w:sz="0" w:space="0" w:color="auto"/>
        <w:right w:val="none" w:sz="0" w:space="0" w:color="auto"/>
      </w:divBdr>
    </w:div>
    <w:div w:id="1619288674">
      <w:bodyDiv w:val="1"/>
      <w:marLeft w:val="0"/>
      <w:marRight w:val="0"/>
      <w:marTop w:val="0"/>
      <w:marBottom w:val="0"/>
      <w:divBdr>
        <w:top w:val="none" w:sz="0" w:space="0" w:color="auto"/>
        <w:left w:val="none" w:sz="0" w:space="0" w:color="auto"/>
        <w:bottom w:val="none" w:sz="0" w:space="0" w:color="auto"/>
        <w:right w:val="none" w:sz="0" w:space="0" w:color="auto"/>
      </w:divBdr>
    </w:div>
    <w:div w:id="1983122645">
      <w:bodyDiv w:val="1"/>
      <w:marLeft w:val="0"/>
      <w:marRight w:val="0"/>
      <w:marTop w:val="0"/>
      <w:marBottom w:val="0"/>
      <w:divBdr>
        <w:top w:val="none" w:sz="0" w:space="0" w:color="auto"/>
        <w:left w:val="none" w:sz="0" w:space="0" w:color="auto"/>
        <w:bottom w:val="none" w:sz="0" w:space="0" w:color="auto"/>
        <w:right w:val="none" w:sz="0" w:space="0" w:color="auto"/>
      </w:divBdr>
    </w:div>
    <w:div w:id="200369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legalaction.org"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ks@legalaction.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jsonline.com/in-depth/news/health/2022/08/29/milwaukee-rentals-can-breeding-ground-asthma-triggers/1009850400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4CB8D1-1FE0-4EDD-8627-D7BAA1E38663}"/>
</file>

<file path=customXml/itemProps2.xml><?xml version="1.0" encoding="utf-8"?>
<ds:datastoreItem xmlns:ds="http://schemas.openxmlformats.org/officeDocument/2006/customXml" ds:itemID="{70B6FC32-68BD-482F-89FE-F0A21F9BAA30}"/>
</file>

<file path=customXml/itemProps3.xml><?xml version="1.0" encoding="utf-8"?>
<ds:datastoreItem xmlns:ds="http://schemas.openxmlformats.org/officeDocument/2006/customXml" ds:itemID="{928C5FD4-98A9-401D-91E7-4BBD2671BCDB}"/>
</file>

<file path=docProps/app.xml><?xml version="1.0" encoding="utf-8"?>
<Properties xmlns="http://schemas.openxmlformats.org/officeDocument/2006/extended-properties" xmlns:vt="http://schemas.openxmlformats.org/officeDocument/2006/docPropsVTypes">
  <Template>Normal</Template>
  <TotalTime>29</TotalTime>
  <Pages>3</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Carmen L. Ayers</cp:lastModifiedBy>
  <cp:revision>5</cp:revision>
  <dcterms:created xsi:type="dcterms:W3CDTF">2023-07-31T21:03:00Z</dcterms:created>
  <dcterms:modified xsi:type="dcterms:W3CDTF">2023-07-31T21:37:00Z</dcterms:modified>
</cp:coreProperties>
</file>