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A8D6" w14:textId="7E8EB112" w:rsidR="0088423E" w:rsidRPr="003027C5" w:rsidRDefault="009723A5" w:rsidP="003027C5">
      <w:pPr>
        <w:shd w:val="clear" w:color="auto" w:fill="FFFFFF"/>
        <w:spacing w:after="40" w:line="240" w:lineRule="auto"/>
        <w:outlineLvl w:val="0"/>
        <w:rPr>
          <w:rFonts w:ascii="Lato" w:hAnsi="Lato" w:cs="Times New Roman"/>
          <w:sz w:val="20"/>
          <w:szCs w:val="20"/>
        </w:rPr>
      </w:pPr>
      <w:r w:rsidRPr="003027C5">
        <w:rPr>
          <w:rFonts w:ascii="Lato" w:hAnsi="Lato" w:cs="Times New Roman"/>
          <w:sz w:val="20"/>
          <w:szCs w:val="20"/>
        </w:rPr>
        <w:t>Federal Housing Finance Agency</w:t>
      </w:r>
    </w:p>
    <w:p w14:paraId="61AC89FF" w14:textId="29CF9FA0" w:rsidR="009723A5" w:rsidRPr="003027C5" w:rsidRDefault="009723A5" w:rsidP="003027C5">
      <w:pPr>
        <w:shd w:val="clear" w:color="auto" w:fill="FFFFFF"/>
        <w:spacing w:after="40" w:line="240" w:lineRule="auto"/>
        <w:outlineLvl w:val="0"/>
        <w:rPr>
          <w:rFonts w:ascii="Lato" w:hAnsi="Lato" w:cs="Times New Roman"/>
          <w:sz w:val="20"/>
          <w:szCs w:val="20"/>
        </w:rPr>
      </w:pPr>
      <w:r w:rsidRPr="003027C5">
        <w:rPr>
          <w:rFonts w:ascii="Lato" w:hAnsi="Lato" w:cs="Times New Roman"/>
          <w:sz w:val="20"/>
          <w:szCs w:val="20"/>
        </w:rPr>
        <w:t>Office of the Director</w:t>
      </w:r>
    </w:p>
    <w:p w14:paraId="1D2B96BE" w14:textId="77777777" w:rsidR="003027C5" w:rsidRPr="003027C5" w:rsidRDefault="003027C5" w:rsidP="003027C5">
      <w:pPr>
        <w:shd w:val="clear" w:color="auto" w:fill="FFFFFF"/>
        <w:spacing w:after="120" w:line="240" w:lineRule="auto"/>
        <w:outlineLvl w:val="0"/>
        <w:rPr>
          <w:rFonts w:ascii="Lato" w:hAnsi="Lato" w:cs="Times New Roman"/>
          <w:sz w:val="20"/>
          <w:szCs w:val="20"/>
        </w:rPr>
      </w:pPr>
    </w:p>
    <w:p w14:paraId="08B9659D" w14:textId="0775400B" w:rsidR="009723A5" w:rsidRPr="003027C5" w:rsidRDefault="009723A5" w:rsidP="003027C5">
      <w:pPr>
        <w:shd w:val="clear" w:color="auto" w:fill="FFFFFF"/>
        <w:spacing w:after="40" w:line="240" w:lineRule="auto"/>
        <w:outlineLvl w:val="0"/>
        <w:rPr>
          <w:rFonts w:ascii="Lato" w:hAnsi="Lato" w:cs="Times New Roman"/>
          <w:sz w:val="20"/>
          <w:szCs w:val="20"/>
        </w:rPr>
      </w:pPr>
      <w:r w:rsidRPr="003027C5">
        <w:rPr>
          <w:rFonts w:ascii="Lato" w:hAnsi="Lato" w:cs="Times New Roman"/>
          <w:sz w:val="20"/>
          <w:szCs w:val="20"/>
        </w:rPr>
        <w:t>400 7</w:t>
      </w:r>
      <w:r w:rsidRPr="003027C5">
        <w:rPr>
          <w:rFonts w:ascii="Lato" w:hAnsi="Lato" w:cs="Times New Roman"/>
          <w:sz w:val="20"/>
          <w:szCs w:val="20"/>
          <w:vertAlign w:val="superscript"/>
        </w:rPr>
        <w:t>th</w:t>
      </w:r>
      <w:r w:rsidRPr="003027C5">
        <w:rPr>
          <w:rFonts w:ascii="Lato" w:hAnsi="Lato" w:cs="Times New Roman"/>
          <w:sz w:val="20"/>
          <w:szCs w:val="20"/>
        </w:rPr>
        <w:t xml:space="preserve"> Street SW, 10</w:t>
      </w:r>
      <w:r w:rsidRPr="003027C5">
        <w:rPr>
          <w:rFonts w:ascii="Lato" w:hAnsi="Lato" w:cs="Times New Roman"/>
          <w:sz w:val="20"/>
          <w:szCs w:val="20"/>
          <w:vertAlign w:val="superscript"/>
        </w:rPr>
        <w:t>th</w:t>
      </w:r>
      <w:r w:rsidRPr="003027C5">
        <w:rPr>
          <w:rFonts w:ascii="Lato" w:hAnsi="Lato" w:cs="Times New Roman"/>
          <w:sz w:val="20"/>
          <w:szCs w:val="20"/>
        </w:rPr>
        <w:t xml:space="preserve"> Floor</w:t>
      </w:r>
    </w:p>
    <w:p w14:paraId="382696B3" w14:textId="6E2D8326" w:rsidR="009723A5" w:rsidRPr="003027C5" w:rsidRDefault="009723A5" w:rsidP="003027C5">
      <w:pPr>
        <w:shd w:val="clear" w:color="auto" w:fill="FFFFFF"/>
        <w:spacing w:after="40" w:line="240" w:lineRule="auto"/>
        <w:outlineLvl w:val="0"/>
        <w:rPr>
          <w:rFonts w:ascii="Lato" w:hAnsi="Lato" w:cs="Times New Roman"/>
          <w:sz w:val="20"/>
          <w:szCs w:val="20"/>
        </w:rPr>
      </w:pPr>
      <w:r w:rsidRPr="003027C5">
        <w:rPr>
          <w:rFonts w:ascii="Lato" w:hAnsi="Lato" w:cs="Times New Roman"/>
          <w:sz w:val="20"/>
          <w:szCs w:val="20"/>
        </w:rPr>
        <w:t>Washington, D.C.</w:t>
      </w:r>
    </w:p>
    <w:p w14:paraId="630D3B38" w14:textId="70C2C470" w:rsidR="009723A5" w:rsidRPr="003027C5" w:rsidRDefault="009723A5" w:rsidP="003027C5">
      <w:pPr>
        <w:shd w:val="clear" w:color="auto" w:fill="FFFFFF"/>
        <w:spacing w:after="40" w:line="240" w:lineRule="auto"/>
        <w:outlineLvl w:val="0"/>
        <w:rPr>
          <w:rFonts w:ascii="Lato" w:hAnsi="Lato" w:cs="Times New Roman"/>
          <w:sz w:val="20"/>
          <w:szCs w:val="20"/>
        </w:rPr>
      </w:pPr>
      <w:r w:rsidRPr="003027C5">
        <w:rPr>
          <w:rFonts w:ascii="Lato" w:hAnsi="Lato" w:cs="Times New Roman"/>
          <w:sz w:val="20"/>
          <w:szCs w:val="20"/>
        </w:rPr>
        <w:t>20219</w:t>
      </w:r>
    </w:p>
    <w:p w14:paraId="7C39581B" w14:textId="2F23D3A3" w:rsidR="0088423E" w:rsidRPr="003027C5" w:rsidRDefault="003027C5" w:rsidP="0088423E">
      <w:pPr>
        <w:shd w:val="clear" w:color="auto" w:fill="FFFFFF"/>
        <w:spacing w:before="300" w:after="150" w:line="240" w:lineRule="auto"/>
        <w:outlineLvl w:val="0"/>
        <w:rPr>
          <w:rFonts w:ascii="Lato" w:hAnsi="Lato" w:cs="Times New Roman"/>
          <w:sz w:val="20"/>
          <w:szCs w:val="20"/>
        </w:rPr>
      </w:pPr>
      <w:r w:rsidRPr="003027C5">
        <w:rPr>
          <w:rFonts w:ascii="Lato" w:hAnsi="Lato" w:cs="Times New Roman"/>
          <w:sz w:val="20"/>
          <w:szCs w:val="20"/>
        </w:rPr>
        <w:t>October 25, 2021</w:t>
      </w:r>
    </w:p>
    <w:p w14:paraId="55251DE4" w14:textId="0621F1FF" w:rsidR="003027C5" w:rsidRPr="003027C5" w:rsidRDefault="003027C5" w:rsidP="0088423E">
      <w:pPr>
        <w:shd w:val="clear" w:color="auto" w:fill="FFFFFF"/>
        <w:spacing w:before="300" w:after="150" w:line="240" w:lineRule="auto"/>
        <w:outlineLvl w:val="0"/>
        <w:rPr>
          <w:rFonts w:ascii="Lato" w:hAnsi="Lato" w:cs="Times New Roman"/>
          <w:sz w:val="20"/>
          <w:szCs w:val="20"/>
        </w:rPr>
      </w:pPr>
      <w:r w:rsidRPr="003027C5">
        <w:rPr>
          <w:rFonts w:ascii="Lato" w:hAnsi="Lato" w:cs="Times New Roman"/>
          <w:sz w:val="20"/>
          <w:szCs w:val="20"/>
        </w:rPr>
        <w:t>Re: Enterprise Equitable Housing Finance Plans Request for Input</w:t>
      </w:r>
    </w:p>
    <w:p w14:paraId="7DDF8606" w14:textId="45789BD3" w:rsidR="0088423E" w:rsidRPr="003027C5" w:rsidRDefault="003027C5" w:rsidP="00554A52">
      <w:pPr>
        <w:shd w:val="clear" w:color="auto" w:fill="FFFFFF"/>
        <w:spacing w:before="300" w:after="150" w:line="240" w:lineRule="auto"/>
        <w:outlineLvl w:val="0"/>
        <w:rPr>
          <w:rFonts w:ascii="Lato" w:hAnsi="Lato" w:cs="Times New Roman"/>
          <w:sz w:val="20"/>
          <w:szCs w:val="20"/>
        </w:rPr>
      </w:pPr>
      <w:r w:rsidRPr="003027C5">
        <w:rPr>
          <w:rFonts w:ascii="Lato" w:hAnsi="Lato" w:cs="Times New Roman"/>
          <w:sz w:val="20"/>
          <w:szCs w:val="20"/>
        </w:rPr>
        <w:t>Dear Director Thompson</w:t>
      </w:r>
      <w:r w:rsidR="0088423E" w:rsidRPr="003027C5">
        <w:rPr>
          <w:rFonts w:ascii="Lato" w:hAnsi="Lato" w:cs="Times New Roman"/>
          <w:sz w:val="20"/>
          <w:szCs w:val="20"/>
        </w:rPr>
        <w:t>,</w:t>
      </w:r>
    </w:p>
    <w:p w14:paraId="03259942" w14:textId="74CF1D93" w:rsidR="0088423E" w:rsidRPr="003027C5" w:rsidRDefault="0088423E" w:rsidP="0055018C">
      <w:pPr>
        <w:shd w:val="clear" w:color="auto" w:fill="FFFFFF"/>
        <w:spacing w:line="240" w:lineRule="auto"/>
        <w:outlineLvl w:val="0"/>
        <w:rPr>
          <w:rFonts w:ascii="Lato" w:hAnsi="Lato" w:cs="Times New Roman"/>
          <w:sz w:val="20"/>
          <w:szCs w:val="20"/>
        </w:rPr>
      </w:pPr>
      <w:r w:rsidRPr="003027C5">
        <w:rPr>
          <w:rFonts w:ascii="Lato" w:hAnsi="Lato" w:cs="Times New Roman"/>
          <w:sz w:val="20"/>
          <w:szCs w:val="20"/>
        </w:rPr>
        <w:t>On September 7, the Federal Housing Finance Agency (FHFA) released a Request for Input (RFI) on ways that Fannie Mae and Freddie Mac (“the Enterprises”) can sustainably advance equitable housing finance as part of a new Equitable Housing Finance Plan (EHFP) requirement. This letter serves as our response to that RFI.</w:t>
      </w:r>
    </w:p>
    <w:p w14:paraId="54751CDE" w14:textId="4792111E" w:rsidR="0088423E" w:rsidRPr="003027C5" w:rsidRDefault="16043CCD" w:rsidP="0055018C">
      <w:pPr>
        <w:shd w:val="clear" w:color="auto" w:fill="FFFFFF" w:themeFill="background1"/>
        <w:spacing w:line="240" w:lineRule="auto"/>
        <w:outlineLvl w:val="0"/>
        <w:rPr>
          <w:rFonts w:ascii="Lato" w:hAnsi="Lato" w:cs="Times New Roman"/>
          <w:sz w:val="20"/>
          <w:szCs w:val="20"/>
        </w:rPr>
      </w:pPr>
      <w:r w:rsidRPr="003027C5">
        <w:rPr>
          <w:rFonts w:ascii="Lato" w:hAnsi="Lato" w:cs="Times New Roman"/>
          <w:sz w:val="20"/>
          <w:szCs w:val="20"/>
        </w:rPr>
        <w:t xml:space="preserve">We applaud the FHFA for asking these questions, and for asking them at this moment. More than fifty years after the </w:t>
      </w:r>
      <w:r w:rsidR="003027C5">
        <w:rPr>
          <w:rFonts w:ascii="Lato" w:hAnsi="Lato" w:cs="Times New Roman"/>
          <w:sz w:val="20"/>
          <w:szCs w:val="20"/>
        </w:rPr>
        <w:t>1968 passage</w:t>
      </w:r>
      <w:r w:rsidRPr="003027C5">
        <w:rPr>
          <w:rFonts w:ascii="Lato" w:hAnsi="Lato" w:cs="Times New Roman"/>
          <w:sz w:val="20"/>
          <w:szCs w:val="20"/>
        </w:rPr>
        <w:t xml:space="preserve"> of the Fair Housing Act, the gap in homeownership rates between white and Black Americans is not only higher than it was when housing discrimination was made illegal, but also the highest it has been since 1890.</w:t>
      </w:r>
      <w:r w:rsidR="0088423E" w:rsidRPr="003027C5">
        <w:rPr>
          <w:rStyle w:val="FootnoteReference"/>
          <w:rFonts w:ascii="Lato" w:hAnsi="Lato" w:cs="Times New Roman"/>
          <w:sz w:val="20"/>
          <w:szCs w:val="20"/>
        </w:rPr>
        <w:footnoteReference w:id="2"/>
      </w:r>
      <w:r w:rsidR="0055018C">
        <w:rPr>
          <w:rFonts w:ascii="Lato" w:hAnsi="Lato" w:cs="Times New Roman"/>
          <w:sz w:val="20"/>
          <w:szCs w:val="20"/>
          <w:vertAlign w:val="superscript"/>
        </w:rPr>
        <w:t>,</w:t>
      </w:r>
      <w:r w:rsidR="0088423E" w:rsidRPr="003027C5">
        <w:rPr>
          <w:rStyle w:val="FootnoteReference"/>
          <w:rFonts w:ascii="Lato" w:hAnsi="Lato" w:cs="Times New Roman"/>
          <w:sz w:val="20"/>
          <w:szCs w:val="20"/>
        </w:rPr>
        <w:footnoteReference w:id="3"/>
      </w:r>
      <w:r w:rsidRPr="003027C5">
        <w:rPr>
          <w:rFonts w:ascii="Lato" w:hAnsi="Lato" w:cs="Times New Roman"/>
          <w:sz w:val="20"/>
          <w:szCs w:val="20"/>
        </w:rPr>
        <w:t xml:space="preserve"> Today, 72% of white households own their home, as compared to 42% of Black households, 48% of Hispanic households</w:t>
      </w:r>
      <w:r w:rsidR="00BB5916" w:rsidRPr="003027C5">
        <w:rPr>
          <w:rFonts w:ascii="Lato" w:hAnsi="Lato" w:cs="Times New Roman"/>
          <w:sz w:val="20"/>
          <w:szCs w:val="20"/>
        </w:rPr>
        <w:t>,</w:t>
      </w:r>
      <w:r w:rsidRPr="003027C5">
        <w:rPr>
          <w:rFonts w:ascii="Lato" w:hAnsi="Lato" w:cs="Times New Roman"/>
          <w:sz w:val="20"/>
          <w:szCs w:val="20"/>
        </w:rPr>
        <w:t xml:space="preserve"> 51% of American Indian and Alaska Native households, and 58% of Asian American and Pacific Islander households.</w:t>
      </w:r>
      <w:r w:rsidR="00A01F7F">
        <w:rPr>
          <w:rStyle w:val="FootnoteReference"/>
          <w:rFonts w:ascii="Lato" w:hAnsi="Lato" w:cs="Times New Roman"/>
          <w:sz w:val="20"/>
          <w:szCs w:val="20"/>
        </w:rPr>
        <w:footnoteReference w:id="4"/>
      </w:r>
      <w:r w:rsidRPr="003027C5">
        <w:rPr>
          <w:rFonts w:ascii="Lato" w:hAnsi="Lato" w:cs="Times New Roman"/>
          <w:sz w:val="20"/>
          <w:szCs w:val="20"/>
        </w:rPr>
        <w:t xml:space="preserve">  </w:t>
      </w:r>
    </w:p>
    <w:p w14:paraId="576D44DD" w14:textId="4E32693E" w:rsidR="00114033" w:rsidRPr="003027C5" w:rsidRDefault="16043CCD" w:rsidP="0055018C">
      <w:pPr>
        <w:shd w:val="clear" w:color="auto" w:fill="FFFFFF" w:themeFill="background1"/>
        <w:spacing w:line="240" w:lineRule="auto"/>
        <w:outlineLvl w:val="0"/>
        <w:rPr>
          <w:rFonts w:ascii="Lato" w:hAnsi="Lato" w:cs="Times New Roman"/>
          <w:sz w:val="20"/>
          <w:szCs w:val="20"/>
        </w:rPr>
      </w:pPr>
      <w:r w:rsidRPr="003027C5">
        <w:rPr>
          <w:rFonts w:ascii="Lato" w:eastAsia="KaiTi" w:hAnsi="Lato" w:cs="Times New Roman"/>
          <w:sz w:val="20"/>
          <w:szCs w:val="20"/>
        </w:rPr>
        <w:t xml:space="preserve">Despite these alarming disparities, in 2020 only 4.8% of the Enterprises’ purchase money loans were to Black borrowers, as compared to 7.5% of all purchase loans, and 16.3% of all </w:t>
      </w:r>
      <w:r w:rsidR="00BB5916" w:rsidRPr="003027C5">
        <w:rPr>
          <w:rFonts w:ascii="Lato" w:eastAsia="KaiTi" w:hAnsi="Lato" w:cs="Times New Roman"/>
          <w:sz w:val="20"/>
          <w:szCs w:val="20"/>
        </w:rPr>
        <w:t>Federal Housing Administration (</w:t>
      </w:r>
      <w:r w:rsidRPr="003027C5">
        <w:rPr>
          <w:rFonts w:ascii="Lato" w:eastAsia="KaiTi" w:hAnsi="Lato" w:cs="Times New Roman"/>
          <w:sz w:val="20"/>
          <w:szCs w:val="20"/>
        </w:rPr>
        <w:t>FHA</w:t>
      </w:r>
      <w:r w:rsidR="00BB5916" w:rsidRPr="003027C5">
        <w:rPr>
          <w:rFonts w:ascii="Lato" w:eastAsia="KaiTi" w:hAnsi="Lato" w:cs="Times New Roman"/>
          <w:sz w:val="20"/>
          <w:szCs w:val="20"/>
        </w:rPr>
        <w:t>)</w:t>
      </w:r>
      <w:r w:rsidRPr="003027C5">
        <w:rPr>
          <w:rFonts w:ascii="Lato" w:eastAsia="KaiTi" w:hAnsi="Lato" w:cs="Times New Roman"/>
          <w:sz w:val="20"/>
          <w:szCs w:val="20"/>
        </w:rPr>
        <w:t xml:space="preserve"> loans that year. Likewise, 7.6% of the Enterprises’ funded purchase loans were to Hispanic borrowers, as compared to 14% of all loans and 26.5% of all FHA</w:t>
      </w:r>
      <w:r w:rsidR="00BB5916" w:rsidRPr="003027C5">
        <w:rPr>
          <w:rFonts w:ascii="Lato" w:eastAsia="KaiTi" w:hAnsi="Lato" w:cs="Times New Roman"/>
          <w:sz w:val="20"/>
          <w:szCs w:val="20"/>
        </w:rPr>
        <w:t xml:space="preserve"> loans</w:t>
      </w:r>
      <w:r w:rsidRPr="003027C5">
        <w:rPr>
          <w:rFonts w:ascii="Lato" w:eastAsia="KaiTi" w:hAnsi="Lato" w:cs="Times New Roman"/>
          <w:sz w:val="20"/>
          <w:szCs w:val="20"/>
        </w:rPr>
        <w:t xml:space="preserve">. The share of Enterprise loans to white borrowers for purchase mortgages in 2020 (76.1%) is higher than the white share for FHA, </w:t>
      </w:r>
      <w:r w:rsidR="00BB5916" w:rsidRPr="003027C5">
        <w:rPr>
          <w:rFonts w:ascii="Lato" w:eastAsia="KaiTi" w:hAnsi="Lato" w:cs="Times New Roman"/>
          <w:sz w:val="20"/>
          <w:szCs w:val="20"/>
        </w:rPr>
        <w:t>Private-Label Securities (</w:t>
      </w:r>
      <w:r w:rsidRPr="003027C5">
        <w:rPr>
          <w:rFonts w:ascii="Lato" w:eastAsia="KaiTi" w:hAnsi="Lato" w:cs="Times New Roman"/>
          <w:sz w:val="20"/>
          <w:szCs w:val="20"/>
        </w:rPr>
        <w:t>PLS</w:t>
      </w:r>
      <w:r w:rsidR="00BB5916" w:rsidRPr="003027C5">
        <w:rPr>
          <w:rFonts w:ascii="Lato" w:eastAsia="KaiTi" w:hAnsi="Lato" w:cs="Times New Roman"/>
          <w:sz w:val="20"/>
          <w:szCs w:val="20"/>
        </w:rPr>
        <w:t>)</w:t>
      </w:r>
      <w:r w:rsidRPr="003027C5">
        <w:rPr>
          <w:rFonts w:ascii="Lato" w:eastAsia="KaiTi" w:hAnsi="Lato" w:cs="Times New Roman"/>
          <w:sz w:val="20"/>
          <w:szCs w:val="20"/>
        </w:rPr>
        <w:t xml:space="preserve"> and </w:t>
      </w:r>
      <w:r w:rsidR="00BB5916" w:rsidRPr="003027C5">
        <w:rPr>
          <w:rFonts w:ascii="Lato" w:eastAsia="KaiTi" w:hAnsi="Lato" w:cs="Times New Roman"/>
          <w:sz w:val="20"/>
          <w:szCs w:val="20"/>
        </w:rPr>
        <w:t xml:space="preserve">the Department of </w:t>
      </w:r>
      <w:r w:rsidRPr="003027C5">
        <w:rPr>
          <w:rFonts w:ascii="Lato" w:eastAsia="KaiTi" w:hAnsi="Lato" w:cs="Times New Roman"/>
          <w:sz w:val="20"/>
          <w:szCs w:val="20"/>
        </w:rPr>
        <w:t>V</w:t>
      </w:r>
      <w:r w:rsidR="00BB5916" w:rsidRPr="003027C5">
        <w:rPr>
          <w:rFonts w:ascii="Lato" w:eastAsia="KaiTi" w:hAnsi="Lato" w:cs="Times New Roman"/>
          <w:sz w:val="20"/>
          <w:szCs w:val="20"/>
        </w:rPr>
        <w:t xml:space="preserve">eterans’ </w:t>
      </w:r>
      <w:r w:rsidRPr="003027C5">
        <w:rPr>
          <w:rFonts w:ascii="Lato" w:eastAsia="KaiTi" w:hAnsi="Lato" w:cs="Times New Roman"/>
          <w:sz w:val="20"/>
          <w:szCs w:val="20"/>
        </w:rPr>
        <w:t>A</w:t>
      </w:r>
      <w:r w:rsidR="00BB5916" w:rsidRPr="003027C5">
        <w:rPr>
          <w:rFonts w:ascii="Lato" w:eastAsia="KaiTi" w:hAnsi="Lato" w:cs="Times New Roman"/>
          <w:sz w:val="20"/>
          <w:szCs w:val="20"/>
        </w:rPr>
        <w:t>ffairs (VA)</w:t>
      </w:r>
      <w:r w:rsidRPr="003027C5">
        <w:rPr>
          <w:rFonts w:ascii="Lato" w:eastAsia="KaiTi" w:hAnsi="Lato" w:cs="Times New Roman"/>
          <w:sz w:val="20"/>
          <w:szCs w:val="20"/>
        </w:rPr>
        <w:t xml:space="preserve">, and on par with </w:t>
      </w:r>
      <w:r w:rsidR="00A01F7F">
        <w:rPr>
          <w:rFonts w:ascii="Lato" w:eastAsia="KaiTi" w:hAnsi="Lato" w:cs="Times New Roman"/>
          <w:sz w:val="20"/>
          <w:szCs w:val="20"/>
        </w:rPr>
        <w:t>loans originated for p</w:t>
      </w:r>
      <w:r w:rsidRPr="003027C5">
        <w:rPr>
          <w:rFonts w:ascii="Lato" w:eastAsia="KaiTi" w:hAnsi="Lato" w:cs="Times New Roman"/>
          <w:sz w:val="20"/>
          <w:szCs w:val="20"/>
        </w:rPr>
        <w:t>ortfolio, and slightly below “other</w:t>
      </w:r>
      <w:r w:rsidR="0055018C">
        <w:rPr>
          <w:rFonts w:ascii="Lato" w:eastAsia="KaiTi" w:hAnsi="Lato" w:cs="Times New Roman"/>
          <w:sz w:val="20"/>
          <w:szCs w:val="20"/>
        </w:rPr>
        <w:t>.”</w:t>
      </w:r>
      <w:r w:rsidRPr="003027C5">
        <w:rPr>
          <w:rFonts w:ascii="Lato" w:eastAsia="KaiTi" w:hAnsi="Lato" w:cs="Times New Roman"/>
          <w:sz w:val="20"/>
          <w:szCs w:val="20"/>
        </w:rPr>
        <w:t xml:space="preserve"> </w:t>
      </w:r>
      <w:r w:rsidR="002C5481">
        <w:rPr>
          <w:rFonts w:ascii="Lato" w:eastAsia="KaiTi" w:hAnsi="Lato" w:cs="Times New Roman"/>
          <w:sz w:val="20"/>
          <w:szCs w:val="20"/>
        </w:rPr>
        <w:t>Refinances matter too. F</w:t>
      </w:r>
      <w:r w:rsidR="002C5481" w:rsidRPr="003027C5">
        <w:rPr>
          <w:rFonts w:ascii="Lato" w:eastAsia="KaiTi" w:hAnsi="Lato" w:cs="Times New Roman"/>
          <w:sz w:val="20"/>
          <w:szCs w:val="20"/>
        </w:rPr>
        <w:t xml:space="preserve">rom January 2020 through October 2020, </w:t>
      </w:r>
      <w:r w:rsidR="002C5481">
        <w:rPr>
          <w:rFonts w:ascii="Lato" w:eastAsia="KaiTi" w:hAnsi="Lato" w:cs="Times New Roman"/>
          <w:sz w:val="20"/>
          <w:szCs w:val="20"/>
        </w:rPr>
        <w:t>Black and Hispanic borrowers were significantly less likely to refinance</w:t>
      </w:r>
      <w:r w:rsidR="002C5481">
        <w:rPr>
          <w:rStyle w:val="FootnoteReference"/>
          <w:rFonts w:ascii="Lato" w:eastAsia="KaiTi" w:hAnsi="Lato" w:cs="Times New Roman"/>
          <w:sz w:val="20"/>
          <w:szCs w:val="20"/>
        </w:rPr>
        <w:footnoteReference w:id="5"/>
      </w:r>
      <w:r w:rsidR="002C5481">
        <w:rPr>
          <w:rFonts w:ascii="Lato" w:eastAsia="KaiTi" w:hAnsi="Lato" w:cs="Times New Roman"/>
          <w:sz w:val="20"/>
          <w:szCs w:val="20"/>
        </w:rPr>
        <w:t xml:space="preserve"> than White </w:t>
      </w:r>
      <w:r w:rsidR="002C5481">
        <w:rPr>
          <w:rFonts w:ascii="Lato" w:eastAsia="KaiTi" w:hAnsi="Lato" w:cs="Times New Roman"/>
          <w:sz w:val="20"/>
          <w:szCs w:val="20"/>
        </w:rPr>
        <w:lastRenderedPageBreak/>
        <w:t xml:space="preserve">borrowers, missing out on potential savings of an estimated </w:t>
      </w:r>
      <w:r w:rsidR="002C5481" w:rsidRPr="003027C5">
        <w:rPr>
          <w:rFonts w:ascii="Lato" w:eastAsia="KaiTi" w:hAnsi="Lato" w:cs="Times New Roman"/>
          <w:sz w:val="20"/>
          <w:szCs w:val="20"/>
        </w:rPr>
        <w:t>$1,200 a year by refinancing</w:t>
      </w:r>
      <w:r w:rsidR="002C5481">
        <w:rPr>
          <w:rFonts w:ascii="Lato" w:eastAsia="KaiTi" w:hAnsi="Lato" w:cs="Times New Roman"/>
          <w:sz w:val="20"/>
          <w:szCs w:val="20"/>
        </w:rPr>
        <w:t>.</w:t>
      </w:r>
      <w:r w:rsidR="002C5481" w:rsidRPr="003027C5">
        <w:rPr>
          <w:rStyle w:val="FootnoteReference"/>
          <w:rFonts w:ascii="Lato" w:hAnsi="Lato" w:cs="Times New Roman"/>
          <w:sz w:val="20"/>
          <w:szCs w:val="20"/>
        </w:rPr>
        <w:footnoteReference w:id="6"/>
      </w:r>
      <w:r w:rsidR="002C5481" w:rsidRPr="002C5481">
        <w:rPr>
          <w:rFonts w:ascii="Lato" w:eastAsia="KaiTi" w:hAnsi="Lato" w:cs="Times New Roman"/>
          <w:sz w:val="20"/>
          <w:szCs w:val="20"/>
          <w:vertAlign w:val="superscript"/>
        </w:rPr>
        <w:t>,</w:t>
      </w:r>
      <w:r w:rsidR="002C5481">
        <w:rPr>
          <w:rFonts w:ascii="Lato" w:eastAsia="KaiTi" w:hAnsi="Lato" w:cs="Times New Roman"/>
          <w:sz w:val="20"/>
          <w:szCs w:val="20"/>
        </w:rPr>
        <w:t xml:space="preserve"> </w:t>
      </w:r>
      <w:r w:rsidR="002C5481" w:rsidRPr="003027C5">
        <w:rPr>
          <w:rStyle w:val="FootnoteReference"/>
          <w:rFonts w:ascii="Lato" w:hAnsi="Lato" w:cs="Times New Roman"/>
          <w:sz w:val="20"/>
          <w:szCs w:val="20"/>
        </w:rPr>
        <w:footnoteReference w:id="7"/>
      </w:r>
      <w:r w:rsidR="002C5481">
        <w:rPr>
          <w:rFonts w:ascii="Lato" w:eastAsia="KaiTi" w:hAnsi="Lato" w:cs="Times New Roman"/>
          <w:sz w:val="20"/>
          <w:szCs w:val="20"/>
        </w:rPr>
        <w:t xml:space="preserve"> </w:t>
      </w:r>
      <w:r w:rsidRPr="003027C5">
        <w:rPr>
          <w:rFonts w:ascii="Lato" w:eastAsia="KaiTi" w:hAnsi="Lato" w:cs="Times New Roman"/>
          <w:sz w:val="20"/>
          <w:szCs w:val="20"/>
        </w:rPr>
        <w:t xml:space="preserve">The </w:t>
      </w:r>
      <w:r w:rsidR="009866B8">
        <w:rPr>
          <w:rFonts w:ascii="Lato" w:eastAsia="KaiTi" w:hAnsi="Lato" w:cs="Times New Roman"/>
          <w:sz w:val="20"/>
          <w:szCs w:val="20"/>
        </w:rPr>
        <w:t>c</w:t>
      </w:r>
      <w:r w:rsidRPr="003027C5">
        <w:rPr>
          <w:rFonts w:ascii="Lato" w:eastAsia="KaiTi" w:hAnsi="Lato" w:cs="Times New Roman"/>
          <w:sz w:val="20"/>
          <w:szCs w:val="20"/>
        </w:rPr>
        <w:t xml:space="preserve">hallenges are even starker for all loans (including refinances) where only 3.8% of all loans funded by the Enterprises went to Black borrowers vs 5.9% of all loans, and the Enterprises represent 60.8% of </w:t>
      </w:r>
      <w:r w:rsidR="002C5481">
        <w:rPr>
          <w:rFonts w:ascii="Lato" w:eastAsia="KaiTi" w:hAnsi="Lato" w:cs="Times New Roman"/>
          <w:sz w:val="20"/>
          <w:szCs w:val="20"/>
        </w:rPr>
        <w:t xml:space="preserve">all </w:t>
      </w:r>
      <w:r w:rsidRPr="003027C5">
        <w:rPr>
          <w:rFonts w:ascii="Lato" w:eastAsia="KaiTi" w:hAnsi="Lato" w:cs="Times New Roman"/>
          <w:sz w:val="20"/>
          <w:szCs w:val="20"/>
        </w:rPr>
        <w:t xml:space="preserve">the loans made. </w:t>
      </w:r>
    </w:p>
    <w:p w14:paraId="7CFC25B2" w14:textId="475EDA9C" w:rsidR="0088423E" w:rsidRPr="003027C5" w:rsidRDefault="16043CCD" w:rsidP="0055018C">
      <w:pPr>
        <w:shd w:val="clear" w:color="auto" w:fill="FFFFFF" w:themeFill="background1"/>
        <w:spacing w:line="240" w:lineRule="auto"/>
        <w:outlineLvl w:val="0"/>
        <w:rPr>
          <w:rStyle w:val="EndnoteReference"/>
          <w:rFonts w:ascii="Lato" w:hAnsi="Lato" w:cs="Times New Roman"/>
          <w:sz w:val="20"/>
          <w:szCs w:val="20"/>
        </w:rPr>
      </w:pPr>
      <w:r w:rsidRPr="003027C5">
        <w:rPr>
          <w:rFonts w:ascii="Lato" w:hAnsi="Lato" w:cs="Times New Roman"/>
          <w:sz w:val="20"/>
          <w:szCs w:val="20"/>
        </w:rPr>
        <w:t>Nor is the racial homeownership gap (and, by extension, the racial wealth gap) limited to individual households. There are also massive discrepancies based on geography. The neighborhoods redlined by the Home Owner’s Loan Corporation (HOLC) and intentionally starved of capital on the basis of race by the FHA nearly ninety years ago remain today places of disadvantage and disinvestment, communities characterized by low incomes, high numbers of residents of color, and an enduring shortage of economic opportunity.</w:t>
      </w:r>
      <w:r w:rsidR="0088423E" w:rsidRPr="003027C5">
        <w:rPr>
          <w:rStyle w:val="FootnoteReference"/>
          <w:rFonts w:ascii="Lato" w:hAnsi="Lato" w:cs="Times New Roman"/>
          <w:sz w:val="20"/>
          <w:szCs w:val="20"/>
        </w:rPr>
        <w:footnoteReference w:id="8"/>
      </w:r>
      <w:r w:rsidR="0088423E" w:rsidRPr="003027C5">
        <w:rPr>
          <w:rStyle w:val="FootnoteReference"/>
          <w:rFonts w:ascii="Lato" w:hAnsi="Lato" w:cs="Times New Roman"/>
          <w:sz w:val="20"/>
          <w:szCs w:val="20"/>
        </w:rPr>
        <w:footnoteReference w:id="9"/>
      </w:r>
      <w:r w:rsidRPr="003027C5">
        <w:rPr>
          <w:rFonts w:ascii="Lato" w:hAnsi="Lato" w:cs="Times New Roman"/>
          <w:sz w:val="20"/>
          <w:szCs w:val="20"/>
        </w:rPr>
        <w:t xml:space="preserve"> Seventy-four percent of neighborhoods graded as high-risk or “hazardous” by the HOLC are low-to-moderate income communities today, and nearly 64% are majority people of color. As researchers at the National Community Reinvestment Coalition explain, “Redlining buttressed the segregated structure of American cities.”</w:t>
      </w:r>
      <w:r w:rsidR="0088423E" w:rsidRPr="003027C5">
        <w:rPr>
          <w:rStyle w:val="FootnoteReference"/>
          <w:rFonts w:ascii="Lato" w:hAnsi="Lato" w:cs="Times New Roman"/>
          <w:sz w:val="20"/>
          <w:szCs w:val="20"/>
        </w:rPr>
        <w:footnoteReference w:id="10"/>
      </w:r>
    </w:p>
    <w:p w14:paraId="359DF55A" w14:textId="764A18E9" w:rsidR="000E2E55" w:rsidRPr="003027C5" w:rsidRDefault="16043CCD" w:rsidP="0055018C">
      <w:pPr>
        <w:spacing w:line="240" w:lineRule="auto"/>
        <w:rPr>
          <w:rFonts w:ascii="Lato" w:hAnsi="Lato" w:cs="Times New Roman"/>
          <w:sz w:val="20"/>
          <w:szCs w:val="20"/>
        </w:rPr>
      </w:pPr>
      <w:r w:rsidRPr="003027C5">
        <w:rPr>
          <w:rFonts w:ascii="Lato" w:hAnsi="Lato" w:cs="Times New Roman"/>
          <w:sz w:val="20"/>
          <w:szCs w:val="20"/>
        </w:rPr>
        <w:t xml:space="preserve">As a centerpiece of the housing finance ecosystem, the Enterprises have a moral imperative to right these historic wrongs. They also have an economic one. The majority of future homebuyers will be people of color: According to </w:t>
      </w:r>
      <w:r w:rsidRPr="007041F2">
        <w:rPr>
          <w:rFonts w:ascii="Lato" w:hAnsi="Lato" w:cs="Times New Roman"/>
          <w:sz w:val="20"/>
          <w:szCs w:val="20"/>
        </w:rPr>
        <w:t>Urban Institute</w:t>
      </w:r>
      <w:r w:rsidRPr="007041F2">
        <w:rPr>
          <w:rStyle w:val="Hyperlink"/>
          <w:rFonts w:ascii="Lato" w:hAnsi="Lato" w:cs="Times New Roman"/>
          <w:color w:val="auto"/>
          <w:sz w:val="20"/>
          <w:szCs w:val="20"/>
          <w:u w:val="none"/>
        </w:rPr>
        <w:t xml:space="preserve"> research</w:t>
      </w:r>
      <w:r w:rsidRPr="003027C5">
        <w:rPr>
          <w:rFonts w:ascii="Lato" w:hAnsi="Lato" w:cs="Times New Roman"/>
          <w:sz w:val="20"/>
          <w:szCs w:val="20"/>
        </w:rPr>
        <w:t xml:space="preserve">, net new homeowners from 2020 to 2040 will be all nonwhite and mostly Hispanic. Of the 6.9 million </w:t>
      </w:r>
      <w:r w:rsidR="008F2E0E" w:rsidRPr="003027C5">
        <w:rPr>
          <w:rFonts w:ascii="Lato" w:hAnsi="Lato" w:cs="Times New Roman"/>
          <w:sz w:val="20"/>
          <w:szCs w:val="20"/>
        </w:rPr>
        <w:t xml:space="preserve">projected </w:t>
      </w:r>
      <w:r w:rsidRPr="003027C5">
        <w:rPr>
          <w:rFonts w:ascii="Lato" w:hAnsi="Lato" w:cs="Times New Roman"/>
          <w:sz w:val="20"/>
          <w:szCs w:val="20"/>
        </w:rPr>
        <w:t xml:space="preserve">new homeowner households </w:t>
      </w:r>
      <w:r w:rsidR="008F2E0E" w:rsidRPr="003027C5">
        <w:rPr>
          <w:rFonts w:ascii="Lato" w:hAnsi="Lato" w:cs="Times New Roman"/>
          <w:sz w:val="20"/>
          <w:szCs w:val="20"/>
        </w:rPr>
        <w:t xml:space="preserve">during </w:t>
      </w:r>
      <w:r w:rsidRPr="003027C5">
        <w:rPr>
          <w:rFonts w:ascii="Lato" w:hAnsi="Lato" w:cs="Times New Roman"/>
          <w:sz w:val="20"/>
          <w:szCs w:val="20"/>
        </w:rPr>
        <w:t>this period, 70 percent will be Hispanic, 38 percent will be Asian, and 17 percent will be Black.</w:t>
      </w:r>
      <w:r w:rsidR="0088423E" w:rsidRPr="003027C5">
        <w:rPr>
          <w:rStyle w:val="FootnoteReference"/>
          <w:rFonts w:ascii="Lato" w:hAnsi="Lato" w:cs="Times New Roman"/>
          <w:sz w:val="20"/>
          <w:szCs w:val="20"/>
        </w:rPr>
        <w:footnoteReference w:id="11"/>
      </w:r>
      <w:r w:rsidRPr="003027C5">
        <w:rPr>
          <w:rFonts w:ascii="Lato" w:hAnsi="Lato" w:cs="Times New Roman"/>
          <w:sz w:val="20"/>
          <w:szCs w:val="20"/>
        </w:rPr>
        <w:t xml:space="preserve">  The Enterprises face a business imperative to adapt to better serve the homebuyers of the future. Doing so will ensure the Enterprises’ relevancy in the housing market and strengthen the larger economy. </w:t>
      </w:r>
      <w:bookmarkStart w:id="0" w:name="_Hlk85793367"/>
      <w:r w:rsidRPr="003027C5">
        <w:rPr>
          <w:rFonts w:ascii="Lato" w:hAnsi="Lato" w:cs="Times New Roman"/>
          <w:sz w:val="20"/>
          <w:szCs w:val="20"/>
        </w:rPr>
        <w:t xml:space="preserve">Analysts at </w:t>
      </w:r>
      <w:r w:rsidRPr="007041F2">
        <w:rPr>
          <w:rFonts w:ascii="Lato" w:hAnsi="Lato" w:cs="Times New Roman"/>
          <w:sz w:val="20"/>
          <w:szCs w:val="20"/>
        </w:rPr>
        <w:t>Citi Global Solutions</w:t>
      </w:r>
      <w:r w:rsidRPr="003027C5">
        <w:rPr>
          <w:rFonts w:ascii="Lato" w:hAnsi="Lato" w:cs="Times New Roman"/>
          <w:sz w:val="20"/>
          <w:szCs w:val="20"/>
        </w:rPr>
        <w:t xml:space="preserve"> estimate that had we equalized access to housing credit 20 years ago, there might be 770,000 more Black homeowners today, and up to $218 billion in additional economic activity.</w:t>
      </w:r>
      <w:r w:rsidR="0088423E" w:rsidRPr="003027C5">
        <w:rPr>
          <w:rStyle w:val="FootnoteReference"/>
          <w:rFonts w:ascii="Lato" w:hAnsi="Lato" w:cs="Times New Roman"/>
          <w:sz w:val="20"/>
          <w:szCs w:val="20"/>
        </w:rPr>
        <w:footnoteReference w:id="12"/>
      </w:r>
      <w:r w:rsidRPr="003027C5">
        <w:rPr>
          <w:rFonts w:ascii="Lato" w:hAnsi="Lato" w:cs="Times New Roman"/>
          <w:sz w:val="20"/>
          <w:szCs w:val="20"/>
        </w:rPr>
        <w:t xml:space="preserve">  </w:t>
      </w:r>
    </w:p>
    <w:bookmarkEnd w:id="0"/>
    <w:p w14:paraId="05BD154A" w14:textId="3390C55D" w:rsidR="0088423E" w:rsidRPr="003027C5" w:rsidRDefault="0088423E" w:rsidP="0055018C">
      <w:pPr>
        <w:shd w:val="clear" w:color="auto" w:fill="FFFFFF"/>
        <w:spacing w:line="240" w:lineRule="auto"/>
        <w:outlineLvl w:val="0"/>
        <w:rPr>
          <w:rFonts w:ascii="Lato" w:hAnsi="Lato" w:cs="Times New Roman"/>
          <w:sz w:val="20"/>
          <w:szCs w:val="20"/>
        </w:rPr>
      </w:pPr>
      <w:r w:rsidRPr="003027C5">
        <w:rPr>
          <w:rFonts w:ascii="Lato" w:hAnsi="Lato" w:cs="Times New Roman"/>
          <w:sz w:val="20"/>
          <w:szCs w:val="20"/>
        </w:rPr>
        <w:t xml:space="preserve">As the FHFA contemplates how best to extend the benefits of homeownership to people and communities of color, it is important not to think of the EHFP as just another, albeit important, planning requirement sitting alongside the Enterprises’ affordable housing and underserved markets planning obligations. A more fruitful way of conceptualizing EHFP is as an overlay that blankets all aspects of Enterprise policies, processes, and practices, with the twin goals of rooting out vestiges of race-related </w:t>
      </w:r>
      <w:r w:rsidRPr="003027C5">
        <w:rPr>
          <w:rFonts w:ascii="Lato" w:hAnsi="Lato" w:cs="Times New Roman"/>
          <w:sz w:val="20"/>
          <w:szCs w:val="20"/>
        </w:rPr>
        <w:lastRenderedPageBreak/>
        <w:t xml:space="preserve">inequity, like appraisal bias, while taking bold, but prudent, steps to close the racial and ethnic homeownership gaps. </w:t>
      </w:r>
    </w:p>
    <w:p w14:paraId="363AA478" w14:textId="678A1DD3" w:rsidR="00505F0D" w:rsidRPr="0055018C" w:rsidRDefault="0088423E" w:rsidP="0055018C">
      <w:p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 xml:space="preserve">To be clear, we are not suggesting that an “equity overlay” would either replace or supersede the current and important commitment to “safety and soundness.” Rather, </w:t>
      </w:r>
      <w:r w:rsidR="000D63A1" w:rsidRPr="0055018C">
        <w:rPr>
          <w:rFonts w:ascii="Lato" w:hAnsi="Lato" w:cs="Times New Roman"/>
          <w:sz w:val="20"/>
          <w:szCs w:val="20"/>
        </w:rPr>
        <w:t>we envision</w:t>
      </w:r>
      <w:r w:rsidRPr="0055018C">
        <w:rPr>
          <w:rFonts w:ascii="Lato" w:hAnsi="Lato" w:cs="Times New Roman"/>
          <w:sz w:val="20"/>
          <w:szCs w:val="20"/>
        </w:rPr>
        <w:t xml:space="preserve"> </w:t>
      </w:r>
      <w:r w:rsidR="000D63A1" w:rsidRPr="0055018C">
        <w:rPr>
          <w:rFonts w:ascii="Lato" w:hAnsi="Lato" w:cs="Times New Roman"/>
          <w:sz w:val="20"/>
          <w:szCs w:val="20"/>
        </w:rPr>
        <w:t xml:space="preserve">a business model </w:t>
      </w:r>
      <w:r w:rsidR="0035023A" w:rsidRPr="0055018C">
        <w:rPr>
          <w:rFonts w:ascii="Lato" w:hAnsi="Lato" w:cs="Times New Roman"/>
          <w:sz w:val="20"/>
          <w:szCs w:val="20"/>
        </w:rPr>
        <w:t xml:space="preserve">that </w:t>
      </w:r>
      <w:r w:rsidR="000D63A1" w:rsidRPr="0055018C">
        <w:rPr>
          <w:rFonts w:ascii="Lato" w:hAnsi="Lato" w:cs="Times New Roman"/>
          <w:sz w:val="20"/>
          <w:szCs w:val="20"/>
        </w:rPr>
        <w:t>strives for equity, and builds safety and soundness considerations into that aim</w:t>
      </w:r>
      <w:r w:rsidR="00970B11" w:rsidRPr="0055018C">
        <w:rPr>
          <w:rFonts w:ascii="Lato" w:hAnsi="Lato" w:cs="Times New Roman"/>
          <w:sz w:val="20"/>
          <w:szCs w:val="20"/>
        </w:rPr>
        <w:t xml:space="preserve">, in which any </w:t>
      </w:r>
      <w:r w:rsidR="000D63A1" w:rsidRPr="0055018C">
        <w:rPr>
          <w:rFonts w:ascii="Lato" w:hAnsi="Lato" w:cs="Times New Roman"/>
          <w:sz w:val="20"/>
          <w:szCs w:val="20"/>
        </w:rPr>
        <w:t>activity that is not explicitly equity</w:t>
      </w:r>
      <w:r w:rsidR="0035023A" w:rsidRPr="0055018C">
        <w:rPr>
          <w:rFonts w:ascii="Lato" w:hAnsi="Lato" w:cs="Times New Roman"/>
          <w:sz w:val="20"/>
          <w:szCs w:val="20"/>
        </w:rPr>
        <w:t>-</w:t>
      </w:r>
      <w:r w:rsidR="000D63A1" w:rsidRPr="0055018C">
        <w:rPr>
          <w:rFonts w:ascii="Lato" w:hAnsi="Lato" w:cs="Times New Roman"/>
          <w:sz w:val="20"/>
          <w:szCs w:val="20"/>
        </w:rPr>
        <w:t xml:space="preserve">oriented </w:t>
      </w:r>
      <w:r w:rsidR="00970B11" w:rsidRPr="0055018C">
        <w:rPr>
          <w:rFonts w:ascii="Lato" w:hAnsi="Lato" w:cs="Times New Roman"/>
          <w:sz w:val="20"/>
          <w:szCs w:val="20"/>
        </w:rPr>
        <w:t>is</w:t>
      </w:r>
      <w:r w:rsidR="000D63A1" w:rsidRPr="0055018C">
        <w:rPr>
          <w:rFonts w:ascii="Lato" w:hAnsi="Lato" w:cs="Times New Roman"/>
          <w:sz w:val="20"/>
          <w:szCs w:val="20"/>
        </w:rPr>
        <w:t xml:space="preserve"> evaluated for its potential impact on equity. In this way,</w:t>
      </w:r>
      <w:r w:rsidRPr="0055018C">
        <w:rPr>
          <w:rFonts w:ascii="Lato" w:hAnsi="Lato" w:cs="Times New Roman"/>
          <w:sz w:val="20"/>
          <w:szCs w:val="20"/>
        </w:rPr>
        <w:t xml:space="preserve"> equity would </w:t>
      </w:r>
      <w:r w:rsidR="000D63A1" w:rsidRPr="0055018C">
        <w:rPr>
          <w:rFonts w:ascii="Lato" w:hAnsi="Lato" w:cs="Times New Roman"/>
          <w:sz w:val="20"/>
          <w:szCs w:val="20"/>
        </w:rPr>
        <w:t>tak</w:t>
      </w:r>
      <w:r w:rsidR="00970B11" w:rsidRPr="0055018C">
        <w:rPr>
          <w:rFonts w:ascii="Lato" w:hAnsi="Lato" w:cs="Times New Roman"/>
          <w:sz w:val="20"/>
          <w:szCs w:val="20"/>
        </w:rPr>
        <w:t>e</w:t>
      </w:r>
      <w:r w:rsidR="000D63A1" w:rsidRPr="0055018C">
        <w:rPr>
          <w:rFonts w:ascii="Lato" w:hAnsi="Lato" w:cs="Times New Roman"/>
          <w:sz w:val="20"/>
          <w:szCs w:val="20"/>
        </w:rPr>
        <w:t xml:space="preserve"> i</w:t>
      </w:r>
      <w:r w:rsidR="0035023A" w:rsidRPr="0055018C">
        <w:rPr>
          <w:rFonts w:ascii="Lato" w:hAnsi="Lato" w:cs="Times New Roman"/>
          <w:sz w:val="20"/>
          <w:szCs w:val="20"/>
        </w:rPr>
        <w:t>t</w:t>
      </w:r>
      <w:r w:rsidR="000D63A1" w:rsidRPr="0055018C">
        <w:rPr>
          <w:rFonts w:ascii="Lato" w:hAnsi="Lato" w:cs="Times New Roman"/>
          <w:sz w:val="20"/>
          <w:szCs w:val="20"/>
        </w:rPr>
        <w:t xml:space="preserve">s </w:t>
      </w:r>
      <w:r w:rsidR="00970B11" w:rsidRPr="0055018C">
        <w:rPr>
          <w:rFonts w:ascii="Lato" w:hAnsi="Lato" w:cs="Times New Roman"/>
          <w:sz w:val="20"/>
          <w:szCs w:val="20"/>
        </w:rPr>
        <w:t xml:space="preserve">rightful </w:t>
      </w:r>
      <w:r w:rsidR="000D63A1" w:rsidRPr="0055018C">
        <w:rPr>
          <w:rFonts w:ascii="Lato" w:hAnsi="Lato" w:cs="Times New Roman"/>
          <w:sz w:val="20"/>
          <w:szCs w:val="20"/>
        </w:rPr>
        <w:t xml:space="preserve">place among the </w:t>
      </w:r>
      <w:r w:rsidRPr="0055018C">
        <w:rPr>
          <w:rFonts w:ascii="Lato" w:hAnsi="Lato" w:cs="Times New Roman"/>
          <w:sz w:val="20"/>
          <w:szCs w:val="20"/>
        </w:rPr>
        <w:t>primary business objective</w:t>
      </w:r>
      <w:r w:rsidR="000D63A1" w:rsidRPr="0055018C">
        <w:rPr>
          <w:rFonts w:ascii="Lato" w:hAnsi="Lato" w:cs="Times New Roman"/>
          <w:sz w:val="20"/>
          <w:szCs w:val="20"/>
        </w:rPr>
        <w:t>s</w:t>
      </w:r>
      <w:r w:rsidRPr="0055018C">
        <w:rPr>
          <w:rFonts w:ascii="Lato" w:hAnsi="Lato" w:cs="Times New Roman"/>
          <w:sz w:val="20"/>
          <w:szCs w:val="20"/>
        </w:rPr>
        <w:t xml:space="preserve"> of the Enterprises. </w:t>
      </w:r>
      <w:r w:rsidR="00970B11" w:rsidRPr="0055018C">
        <w:rPr>
          <w:rFonts w:ascii="Lato" w:hAnsi="Lato" w:cs="Times New Roman"/>
          <w:sz w:val="20"/>
          <w:szCs w:val="20"/>
        </w:rPr>
        <w:t xml:space="preserve">Similarly, </w:t>
      </w:r>
      <w:r w:rsidRPr="0055018C">
        <w:rPr>
          <w:rFonts w:ascii="Lato" w:hAnsi="Lato" w:cs="Times New Roman"/>
          <w:sz w:val="20"/>
          <w:szCs w:val="20"/>
        </w:rPr>
        <w:t>FHFA’s oversight responsibilities and decisions would first be scrutinized through the lens of equity. For example, when considering whether to pursue new products or revise loss mitigation strategies, the first question</w:t>
      </w:r>
      <w:r w:rsidR="00970B11" w:rsidRPr="0055018C">
        <w:rPr>
          <w:rFonts w:ascii="Lato" w:hAnsi="Lato" w:cs="Times New Roman"/>
          <w:sz w:val="20"/>
          <w:szCs w:val="20"/>
        </w:rPr>
        <w:t>s</w:t>
      </w:r>
      <w:r w:rsidRPr="0055018C">
        <w:rPr>
          <w:rFonts w:ascii="Lato" w:hAnsi="Lato" w:cs="Times New Roman"/>
          <w:sz w:val="20"/>
          <w:szCs w:val="20"/>
        </w:rPr>
        <w:t xml:space="preserve"> – gating question</w:t>
      </w:r>
      <w:r w:rsidR="00970B11" w:rsidRPr="0055018C">
        <w:rPr>
          <w:rFonts w:ascii="Lato" w:hAnsi="Lato" w:cs="Times New Roman"/>
          <w:sz w:val="20"/>
          <w:szCs w:val="20"/>
        </w:rPr>
        <w:t>s</w:t>
      </w:r>
      <w:r w:rsidRPr="0055018C">
        <w:rPr>
          <w:rFonts w:ascii="Lato" w:hAnsi="Lato" w:cs="Times New Roman"/>
          <w:sz w:val="20"/>
          <w:szCs w:val="20"/>
        </w:rPr>
        <w:t xml:space="preserve"> that would dictate next steps – would be</w:t>
      </w:r>
      <w:r w:rsidR="0035023A" w:rsidRPr="0055018C">
        <w:rPr>
          <w:rFonts w:ascii="Lato" w:hAnsi="Lato" w:cs="Times New Roman"/>
          <w:sz w:val="20"/>
          <w:szCs w:val="20"/>
        </w:rPr>
        <w:t xml:space="preserve">: Does this </w:t>
      </w:r>
      <w:r w:rsidRPr="0055018C">
        <w:rPr>
          <w:rFonts w:ascii="Lato" w:hAnsi="Lato" w:cs="Times New Roman"/>
          <w:sz w:val="20"/>
          <w:szCs w:val="20"/>
        </w:rPr>
        <w:t>action advance equity in the housing market</w:t>
      </w:r>
      <w:r w:rsidR="0035023A" w:rsidRPr="0055018C">
        <w:rPr>
          <w:rFonts w:ascii="Lato" w:hAnsi="Lato" w:cs="Times New Roman"/>
          <w:sz w:val="20"/>
          <w:szCs w:val="20"/>
        </w:rPr>
        <w:t>?</w:t>
      </w:r>
      <w:r w:rsidRPr="0055018C">
        <w:rPr>
          <w:rFonts w:ascii="Lato" w:hAnsi="Lato" w:cs="Times New Roman"/>
          <w:sz w:val="20"/>
          <w:szCs w:val="20"/>
        </w:rPr>
        <w:t xml:space="preserve"> If so, how? If not, would it actively fuel inequality? Would there be a way to pursue the needed action such that it either promotes equity, or at least does not impede it? It is </w:t>
      </w:r>
      <w:r w:rsidR="0035023A" w:rsidRPr="0055018C">
        <w:rPr>
          <w:rFonts w:ascii="Lato" w:hAnsi="Lato" w:cs="Times New Roman"/>
          <w:sz w:val="20"/>
          <w:szCs w:val="20"/>
        </w:rPr>
        <w:t>in the context of the answers to those so</w:t>
      </w:r>
      <w:r w:rsidRPr="0055018C">
        <w:rPr>
          <w:rFonts w:ascii="Lato" w:hAnsi="Lato" w:cs="Times New Roman"/>
          <w:sz w:val="20"/>
          <w:szCs w:val="20"/>
        </w:rPr>
        <w:t xml:space="preserve">rts of questions the FHFA and the Enterprises would then consider the other critical dimensions of any proposed action, including regulatory limitations, implications related to risk, finances and operations, and institutional priorities. </w:t>
      </w:r>
    </w:p>
    <w:p w14:paraId="41F34019" w14:textId="6C11B60F" w:rsidR="0088423E" w:rsidRPr="0055018C" w:rsidRDefault="0088423E" w:rsidP="0055018C">
      <w:p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 xml:space="preserve">In the following pages, we </w:t>
      </w:r>
      <w:r w:rsidR="009B087D" w:rsidRPr="0055018C">
        <w:rPr>
          <w:rFonts w:ascii="Lato" w:hAnsi="Lato" w:cs="Times New Roman"/>
          <w:sz w:val="20"/>
          <w:szCs w:val="20"/>
        </w:rPr>
        <w:t xml:space="preserve">recommend </w:t>
      </w:r>
      <w:r w:rsidRPr="0055018C">
        <w:rPr>
          <w:rFonts w:ascii="Lato" w:hAnsi="Lato" w:cs="Times New Roman"/>
          <w:sz w:val="20"/>
          <w:szCs w:val="20"/>
        </w:rPr>
        <w:t xml:space="preserve">three </w:t>
      </w:r>
      <w:r w:rsidR="009B087D" w:rsidRPr="0055018C">
        <w:rPr>
          <w:rFonts w:ascii="Lato" w:hAnsi="Lato" w:cs="Times New Roman"/>
          <w:sz w:val="20"/>
          <w:szCs w:val="20"/>
        </w:rPr>
        <w:t>essential steps to</w:t>
      </w:r>
      <w:r w:rsidR="0044497F" w:rsidRPr="0055018C">
        <w:rPr>
          <w:rFonts w:ascii="Lato" w:hAnsi="Lato" w:cs="Times New Roman"/>
          <w:sz w:val="20"/>
          <w:szCs w:val="20"/>
        </w:rPr>
        <w:t xml:space="preserve"> successful</w:t>
      </w:r>
      <w:r w:rsidR="00146865" w:rsidRPr="0055018C">
        <w:rPr>
          <w:rFonts w:ascii="Lato" w:hAnsi="Lato" w:cs="Times New Roman"/>
          <w:sz w:val="20"/>
          <w:szCs w:val="20"/>
        </w:rPr>
        <w:t>l</w:t>
      </w:r>
      <w:r w:rsidR="0044497F" w:rsidRPr="0055018C">
        <w:rPr>
          <w:rFonts w:ascii="Lato" w:hAnsi="Lato" w:cs="Times New Roman"/>
          <w:sz w:val="20"/>
          <w:szCs w:val="20"/>
        </w:rPr>
        <w:t xml:space="preserve">y </w:t>
      </w:r>
      <w:r w:rsidRPr="0055018C">
        <w:rPr>
          <w:rFonts w:ascii="Lato" w:hAnsi="Lato" w:cs="Times New Roman"/>
          <w:sz w:val="20"/>
          <w:szCs w:val="20"/>
        </w:rPr>
        <w:t xml:space="preserve">implement this </w:t>
      </w:r>
      <w:r w:rsidR="009866B8" w:rsidRPr="0055018C">
        <w:rPr>
          <w:rFonts w:ascii="Lato" w:hAnsi="Lato" w:cs="Times New Roman"/>
          <w:sz w:val="20"/>
          <w:szCs w:val="20"/>
        </w:rPr>
        <w:t>overlay and</w:t>
      </w:r>
      <w:r w:rsidR="00633125" w:rsidRPr="0055018C">
        <w:rPr>
          <w:rFonts w:ascii="Lato" w:hAnsi="Lato" w:cs="Times New Roman"/>
          <w:sz w:val="20"/>
          <w:szCs w:val="20"/>
        </w:rPr>
        <w:t xml:space="preserve"> help to</w:t>
      </w:r>
      <w:r w:rsidR="009B087D" w:rsidRPr="0055018C">
        <w:rPr>
          <w:rFonts w:ascii="Lato" w:hAnsi="Lato" w:cs="Times New Roman"/>
          <w:sz w:val="20"/>
          <w:szCs w:val="20"/>
        </w:rPr>
        <w:t xml:space="preserve"> </w:t>
      </w:r>
      <w:r w:rsidRPr="0055018C">
        <w:rPr>
          <w:rFonts w:ascii="Lato" w:hAnsi="Lato" w:cs="Times New Roman"/>
          <w:sz w:val="20"/>
          <w:szCs w:val="20"/>
        </w:rPr>
        <w:t>transition the FHFA and the Enterprises to</w:t>
      </w:r>
      <w:r w:rsidR="009B087D" w:rsidRPr="0055018C">
        <w:rPr>
          <w:rFonts w:ascii="Lato" w:hAnsi="Lato" w:cs="Times New Roman"/>
          <w:sz w:val="20"/>
          <w:szCs w:val="20"/>
        </w:rPr>
        <w:t>ward</w:t>
      </w:r>
      <w:r w:rsidRPr="0055018C">
        <w:rPr>
          <w:rFonts w:ascii="Lato" w:hAnsi="Lato" w:cs="Times New Roman"/>
          <w:sz w:val="20"/>
          <w:szCs w:val="20"/>
        </w:rPr>
        <w:t xml:space="preserve"> meaningfully address</w:t>
      </w:r>
      <w:r w:rsidR="009B087D" w:rsidRPr="0055018C">
        <w:rPr>
          <w:rFonts w:ascii="Lato" w:hAnsi="Lato" w:cs="Times New Roman"/>
          <w:sz w:val="20"/>
          <w:szCs w:val="20"/>
        </w:rPr>
        <w:t>ing</w:t>
      </w:r>
      <w:r w:rsidRPr="0055018C">
        <w:rPr>
          <w:rFonts w:ascii="Lato" w:hAnsi="Lato" w:cs="Times New Roman"/>
          <w:sz w:val="20"/>
          <w:szCs w:val="20"/>
        </w:rPr>
        <w:t xml:space="preserve"> historic wrongs and </w:t>
      </w:r>
      <w:r w:rsidR="009B087D" w:rsidRPr="0055018C">
        <w:rPr>
          <w:rFonts w:ascii="Lato" w:hAnsi="Lato" w:cs="Times New Roman"/>
          <w:sz w:val="20"/>
          <w:szCs w:val="20"/>
        </w:rPr>
        <w:t>unlocking</w:t>
      </w:r>
      <w:r w:rsidRPr="0055018C">
        <w:rPr>
          <w:rFonts w:ascii="Lato" w:hAnsi="Lato" w:cs="Times New Roman"/>
          <w:sz w:val="20"/>
          <w:szCs w:val="20"/>
        </w:rPr>
        <w:t xml:space="preserve"> the economic value of a more equitable housing finance system. </w:t>
      </w:r>
    </w:p>
    <w:p w14:paraId="5FA5BA8E" w14:textId="1AE613AF" w:rsidR="00912CF4" w:rsidRPr="0055018C" w:rsidRDefault="001B6668" w:rsidP="0055018C">
      <w:pPr>
        <w:shd w:val="clear" w:color="auto" w:fill="FFFFFF"/>
        <w:spacing w:line="240" w:lineRule="auto"/>
        <w:outlineLvl w:val="0"/>
        <w:rPr>
          <w:rFonts w:ascii="Lato" w:hAnsi="Lato" w:cs="Times New Roman"/>
          <w:b/>
          <w:sz w:val="20"/>
          <w:szCs w:val="20"/>
        </w:rPr>
      </w:pPr>
      <w:r w:rsidRPr="0055018C">
        <w:rPr>
          <w:rFonts w:ascii="Lato" w:hAnsi="Lato" w:cs="Times New Roman"/>
          <w:b/>
          <w:sz w:val="20"/>
          <w:szCs w:val="20"/>
        </w:rPr>
        <w:t xml:space="preserve">Recommendation #1: </w:t>
      </w:r>
      <w:r w:rsidR="00293727" w:rsidRPr="0055018C">
        <w:rPr>
          <w:rFonts w:ascii="Lato" w:hAnsi="Lato" w:cs="Times New Roman"/>
          <w:b/>
          <w:sz w:val="20"/>
          <w:szCs w:val="20"/>
        </w:rPr>
        <w:t xml:space="preserve">Establish a clear vision and goal for </w:t>
      </w:r>
      <w:r w:rsidR="0044497F" w:rsidRPr="0055018C">
        <w:rPr>
          <w:rFonts w:ascii="Lato" w:hAnsi="Lato" w:cs="Times New Roman"/>
          <w:b/>
          <w:sz w:val="20"/>
          <w:szCs w:val="20"/>
        </w:rPr>
        <w:t xml:space="preserve">“equitable housing finance” </w:t>
      </w:r>
      <w:r w:rsidR="00293727" w:rsidRPr="0055018C">
        <w:rPr>
          <w:rFonts w:ascii="Lato" w:hAnsi="Lato" w:cs="Times New Roman"/>
          <w:b/>
          <w:sz w:val="20"/>
          <w:szCs w:val="20"/>
        </w:rPr>
        <w:t xml:space="preserve">focused on a </w:t>
      </w:r>
      <w:r w:rsidR="00912CF4" w:rsidRPr="0055018C">
        <w:rPr>
          <w:rFonts w:ascii="Lato" w:hAnsi="Lato" w:cs="Times New Roman"/>
          <w:b/>
          <w:sz w:val="20"/>
          <w:szCs w:val="20"/>
        </w:rPr>
        <w:t xml:space="preserve">small number of </w:t>
      </w:r>
      <w:r w:rsidR="00293727" w:rsidRPr="0055018C">
        <w:rPr>
          <w:rFonts w:ascii="Lato" w:hAnsi="Lato" w:cs="Times New Roman"/>
          <w:b/>
          <w:sz w:val="20"/>
          <w:szCs w:val="20"/>
        </w:rPr>
        <w:t>measurable outcomes.</w:t>
      </w:r>
    </w:p>
    <w:p w14:paraId="60B52B3C" w14:textId="77A7BEBA" w:rsidR="00207180" w:rsidRPr="0055018C" w:rsidRDefault="00CE71A3" w:rsidP="0055018C">
      <w:p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The first step in adopting an “equity</w:t>
      </w:r>
      <w:r w:rsidR="00633125" w:rsidRPr="0055018C">
        <w:rPr>
          <w:rFonts w:ascii="Lato" w:hAnsi="Lato" w:cs="Times New Roman"/>
          <w:i/>
          <w:iCs/>
          <w:sz w:val="20"/>
          <w:szCs w:val="20"/>
        </w:rPr>
        <w:t xml:space="preserve"> </w:t>
      </w:r>
      <w:r w:rsidR="009B087D" w:rsidRPr="0055018C">
        <w:rPr>
          <w:rFonts w:ascii="Lato" w:hAnsi="Lato" w:cs="Times New Roman"/>
          <w:sz w:val="20"/>
          <w:szCs w:val="20"/>
        </w:rPr>
        <w:t>overlay</w:t>
      </w:r>
      <w:r w:rsidRPr="0055018C">
        <w:rPr>
          <w:rFonts w:ascii="Lato" w:hAnsi="Lato" w:cs="Times New Roman"/>
          <w:sz w:val="20"/>
          <w:szCs w:val="20"/>
        </w:rPr>
        <w:t xml:space="preserve">” </w:t>
      </w:r>
      <w:r w:rsidR="00DC3F35" w:rsidRPr="0055018C">
        <w:rPr>
          <w:rFonts w:ascii="Lato" w:hAnsi="Lato" w:cs="Times New Roman"/>
          <w:sz w:val="20"/>
          <w:szCs w:val="20"/>
        </w:rPr>
        <w:t xml:space="preserve">is to clearly define </w:t>
      </w:r>
      <w:r w:rsidR="00C70D9F" w:rsidRPr="0055018C">
        <w:rPr>
          <w:rFonts w:ascii="Lato" w:hAnsi="Lato" w:cs="Times New Roman"/>
          <w:sz w:val="20"/>
          <w:szCs w:val="20"/>
        </w:rPr>
        <w:t>“</w:t>
      </w:r>
      <w:r w:rsidR="00DC3F35" w:rsidRPr="0055018C">
        <w:rPr>
          <w:rFonts w:ascii="Lato" w:hAnsi="Lato" w:cs="Times New Roman"/>
          <w:sz w:val="20"/>
          <w:szCs w:val="20"/>
        </w:rPr>
        <w:t>equitable</w:t>
      </w:r>
      <w:r w:rsidR="00C70D9F" w:rsidRPr="0055018C">
        <w:rPr>
          <w:rFonts w:ascii="Lato" w:hAnsi="Lato" w:cs="Times New Roman"/>
          <w:sz w:val="20"/>
          <w:szCs w:val="20"/>
        </w:rPr>
        <w:t xml:space="preserve"> housing finance</w:t>
      </w:r>
      <w:r w:rsidR="007041F2" w:rsidRPr="0055018C">
        <w:rPr>
          <w:rFonts w:ascii="Lato" w:hAnsi="Lato" w:cs="Times New Roman"/>
          <w:sz w:val="20"/>
          <w:szCs w:val="20"/>
        </w:rPr>
        <w:t xml:space="preserve">.” </w:t>
      </w:r>
      <w:r w:rsidR="009B087D" w:rsidRPr="0055018C">
        <w:rPr>
          <w:rFonts w:ascii="Lato" w:hAnsi="Lato" w:cs="Times New Roman"/>
          <w:sz w:val="20"/>
          <w:szCs w:val="20"/>
        </w:rPr>
        <w:t>A c</w:t>
      </w:r>
      <w:r w:rsidR="00217ACD" w:rsidRPr="0055018C">
        <w:rPr>
          <w:rFonts w:ascii="Lato" w:hAnsi="Lato" w:cs="Times New Roman"/>
          <w:sz w:val="20"/>
          <w:szCs w:val="20"/>
        </w:rPr>
        <w:t xml:space="preserve">lear </w:t>
      </w:r>
      <w:r w:rsidR="00A74A86" w:rsidRPr="0055018C">
        <w:rPr>
          <w:rFonts w:ascii="Lato" w:hAnsi="Lato" w:cs="Times New Roman"/>
          <w:sz w:val="20"/>
          <w:szCs w:val="20"/>
        </w:rPr>
        <w:t xml:space="preserve">and relevant </w:t>
      </w:r>
      <w:r w:rsidR="00C70D9F" w:rsidRPr="0055018C">
        <w:rPr>
          <w:rFonts w:ascii="Lato" w:hAnsi="Lato" w:cs="Times New Roman"/>
          <w:sz w:val="20"/>
          <w:szCs w:val="20"/>
        </w:rPr>
        <w:t>defin</w:t>
      </w:r>
      <w:r w:rsidR="009B087D" w:rsidRPr="0055018C">
        <w:rPr>
          <w:rFonts w:ascii="Lato" w:hAnsi="Lato" w:cs="Times New Roman"/>
          <w:sz w:val="20"/>
          <w:szCs w:val="20"/>
        </w:rPr>
        <w:t>ition of</w:t>
      </w:r>
      <w:r w:rsidR="00293727" w:rsidRPr="0055018C">
        <w:rPr>
          <w:rFonts w:ascii="Lato" w:hAnsi="Lato" w:cs="Times New Roman"/>
          <w:sz w:val="20"/>
          <w:szCs w:val="20"/>
        </w:rPr>
        <w:t xml:space="preserve"> equity</w:t>
      </w:r>
      <w:r w:rsidR="00217ACD" w:rsidRPr="0055018C">
        <w:rPr>
          <w:rFonts w:ascii="Lato" w:hAnsi="Lato" w:cs="Times New Roman"/>
          <w:sz w:val="20"/>
          <w:szCs w:val="20"/>
        </w:rPr>
        <w:t xml:space="preserve"> </w:t>
      </w:r>
      <w:r w:rsidR="009B087D" w:rsidRPr="0055018C">
        <w:rPr>
          <w:rFonts w:ascii="Lato" w:hAnsi="Lato" w:cs="Times New Roman"/>
          <w:sz w:val="20"/>
          <w:szCs w:val="20"/>
        </w:rPr>
        <w:t>allow</w:t>
      </w:r>
      <w:r w:rsidR="003B40C1" w:rsidRPr="0055018C">
        <w:rPr>
          <w:rFonts w:ascii="Lato" w:hAnsi="Lato" w:cs="Times New Roman"/>
          <w:sz w:val="20"/>
          <w:szCs w:val="20"/>
        </w:rPr>
        <w:t>s</w:t>
      </w:r>
      <w:r w:rsidR="009B087D" w:rsidRPr="0055018C">
        <w:rPr>
          <w:rFonts w:ascii="Lato" w:hAnsi="Lato" w:cs="Times New Roman"/>
          <w:sz w:val="20"/>
          <w:szCs w:val="20"/>
        </w:rPr>
        <w:t xml:space="preserve"> for tangible analysis </w:t>
      </w:r>
      <w:r w:rsidR="003B40C1" w:rsidRPr="0055018C">
        <w:rPr>
          <w:rFonts w:ascii="Lato" w:hAnsi="Lato" w:cs="Times New Roman"/>
          <w:sz w:val="20"/>
          <w:szCs w:val="20"/>
        </w:rPr>
        <w:t xml:space="preserve">of the </w:t>
      </w:r>
      <w:r w:rsidR="00A74A86" w:rsidRPr="0055018C">
        <w:rPr>
          <w:rFonts w:ascii="Lato" w:hAnsi="Lato" w:cs="Times New Roman"/>
          <w:sz w:val="20"/>
          <w:szCs w:val="20"/>
        </w:rPr>
        <w:t>equity</w:t>
      </w:r>
      <w:r w:rsidR="003B40C1" w:rsidRPr="0055018C">
        <w:rPr>
          <w:rFonts w:ascii="Lato" w:hAnsi="Lato" w:cs="Times New Roman"/>
          <w:sz w:val="20"/>
          <w:szCs w:val="20"/>
        </w:rPr>
        <w:t xml:space="preserve"> impact of any activit</w:t>
      </w:r>
      <w:r w:rsidR="00A74A86" w:rsidRPr="0055018C">
        <w:rPr>
          <w:rFonts w:ascii="Lato" w:hAnsi="Lato" w:cs="Times New Roman"/>
          <w:sz w:val="20"/>
          <w:szCs w:val="20"/>
        </w:rPr>
        <w:t>y</w:t>
      </w:r>
      <w:r w:rsidR="003B40C1" w:rsidRPr="0055018C">
        <w:rPr>
          <w:rFonts w:ascii="Lato" w:hAnsi="Lato" w:cs="Times New Roman"/>
          <w:sz w:val="20"/>
          <w:szCs w:val="20"/>
        </w:rPr>
        <w:t>, a</w:t>
      </w:r>
      <w:r w:rsidR="009B087D" w:rsidRPr="0055018C">
        <w:rPr>
          <w:rFonts w:ascii="Lato" w:hAnsi="Lato" w:cs="Times New Roman"/>
          <w:sz w:val="20"/>
          <w:szCs w:val="20"/>
        </w:rPr>
        <w:t xml:space="preserve">nd can </w:t>
      </w:r>
      <w:r w:rsidR="00C70D9F" w:rsidRPr="0055018C">
        <w:rPr>
          <w:rFonts w:ascii="Lato" w:hAnsi="Lato" w:cs="Times New Roman"/>
          <w:sz w:val="20"/>
          <w:szCs w:val="20"/>
        </w:rPr>
        <w:t>serve as a north star to guide the Enterprises</w:t>
      </w:r>
      <w:r w:rsidR="00F4296E" w:rsidRPr="0055018C">
        <w:rPr>
          <w:rFonts w:ascii="Lato" w:hAnsi="Lato" w:cs="Times New Roman"/>
          <w:sz w:val="20"/>
          <w:szCs w:val="20"/>
        </w:rPr>
        <w:t>—</w:t>
      </w:r>
      <w:r w:rsidR="00293727" w:rsidRPr="0055018C">
        <w:rPr>
          <w:rFonts w:ascii="Lato" w:hAnsi="Lato" w:cs="Times New Roman"/>
          <w:sz w:val="20"/>
          <w:szCs w:val="20"/>
        </w:rPr>
        <w:t xml:space="preserve">and the </w:t>
      </w:r>
      <w:r w:rsidR="004837BC" w:rsidRPr="0055018C">
        <w:rPr>
          <w:rFonts w:ascii="Lato" w:hAnsi="Lato" w:cs="Times New Roman"/>
          <w:sz w:val="20"/>
          <w:szCs w:val="20"/>
        </w:rPr>
        <w:t>entire</w:t>
      </w:r>
      <w:r w:rsidR="00293727" w:rsidRPr="0055018C">
        <w:rPr>
          <w:rFonts w:ascii="Lato" w:hAnsi="Lato" w:cs="Times New Roman"/>
          <w:sz w:val="20"/>
          <w:szCs w:val="20"/>
        </w:rPr>
        <w:t xml:space="preserve"> housing finance ecosystem</w:t>
      </w:r>
      <w:r w:rsidR="00F4296E" w:rsidRPr="0055018C">
        <w:rPr>
          <w:rFonts w:ascii="Lato" w:hAnsi="Lato" w:cs="Times New Roman"/>
          <w:sz w:val="20"/>
          <w:szCs w:val="20"/>
        </w:rPr>
        <w:t>—</w:t>
      </w:r>
      <w:r w:rsidR="00C70D9F" w:rsidRPr="0055018C">
        <w:rPr>
          <w:rFonts w:ascii="Lato" w:hAnsi="Lato" w:cs="Times New Roman"/>
          <w:sz w:val="20"/>
          <w:szCs w:val="20"/>
        </w:rPr>
        <w:t>toward meaningful change. Specifically, the RFI</w:t>
      </w:r>
      <w:r w:rsidR="00207180" w:rsidRPr="0055018C">
        <w:rPr>
          <w:rFonts w:ascii="Lato" w:hAnsi="Lato" w:cs="Times New Roman"/>
          <w:sz w:val="20"/>
          <w:szCs w:val="20"/>
        </w:rPr>
        <w:t xml:space="preserve"> requires the following outcomes as the goal of</w:t>
      </w:r>
      <w:r w:rsidR="00C70D9F" w:rsidRPr="0055018C">
        <w:rPr>
          <w:rFonts w:ascii="Lato" w:hAnsi="Lato" w:cs="Times New Roman"/>
          <w:sz w:val="20"/>
          <w:szCs w:val="20"/>
        </w:rPr>
        <w:t xml:space="preserve"> an equitable housing finance system:</w:t>
      </w:r>
    </w:p>
    <w:p w14:paraId="6E6C50DE" w14:textId="0E48B81C" w:rsidR="00207180" w:rsidRPr="0055018C" w:rsidRDefault="00207180" w:rsidP="0055018C">
      <w:pPr>
        <w:pStyle w:val="ListParagraph"/>
        <w:numPr>
          <w:ilvl w:val="0"/>
          <w:numId w:val="37"/>
        </w:num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 xml:space="preserve">Reducing the racial </w:t>
      </w:r>
      <w:r w:rsidR="00C41AB7" w:rsidRPr="0055018C">
        <w:rPr>
          <w:rFonts w:ascii="Lato" w:hAnsi="Lato" w:cs="Times New Roman"/>
          <w:sz w:val="20"/>
          <w:szCs w:val="20"/>
        </w:rPr>
        <w:t>or</w:t>
      </w:r>
      <w:r w:rsidRPr="0055018C">
        <w:rPr>
          <w:rFonts w:ascii="Lato" w:hAnsi="Lato" w:cs="Times New Roman"/>
          <w:sz w:val="20"/>
          <w:szCs w:val="20"/>
        </w:rPr>
        <w:t xml:space="preserve"> ethnic homeownership gap</w:t>
      </w:r>
      <w:r w:rsidR="00633125" w:rsidRPr="0055018C">
        <w:rPr>
          <w:rFonts w:ascii="Lato" w:hAnsi="Lato" w:cs="Times New Roman"/>
          <w:sz w:val="20"/>
          <w:szCs w:val="20"/>
        </w:rPr>
        <w:t>; and</w:t>
      </w:r>
    </w:p>
    <w:p w14:paraId="266A31ED" w14:textId="26E69A8A" w:rsidR="00207180" w:rsidRPr="0055018C" w:rsidRDefault="00207180" w:rsidP="0055018C">
      <w:pPr>
        <w:pStyle w:val="ListParagraph"/>
        <w:numPr>
          <w:ilvl w:val="0"/>
          <w:numId w:val="37"/>
        </w:num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Reducing underinvestment or undervaluation in formerly redlined areas that remain racially or ethnically concentrated areas of poverty or otherwise underserved or undervalued</w:t>
      </w:r>
      <w:r w:rsidR="00633125" w:rsidRPr="0055018C">
        <w:rPr>
          <w:rFonts w:ascii="Lato" w:hAnsi="Lato" w:cs="Times New Roman"/>
          <w:sz w:val="20"/>
          <w:szCs w:val="20"/>
        </w:rPr>
        <w:t>.</w:t>
      </w:r>
    </w:p>
    <w:p w14:paraId="4381E868" w14:textId="61F7A001" w:rsidR="00A01F7F" w:rsidRPr="0055018C" w:rsidRDefault="00633125" w:rsidP="0055018C">
      <w:p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 xml:space="preserve">We support these two outcomes and also </w:t>
      </w:r>
      <w:r w:rsidR="004837BC" w:rsidRPr="0055018C">
        <w:rPr>
          <w:rFonts w:ascii="Lato" w:hAnsi="Lato" w:cs="Times New Roman"/>
          <w:sz w:val="20"/>
          <w:szCs w:val="20"/>
        </w:rPr>
        <w:t>suggest adding a third to assure that</w:t>
      </w:r>
      <w:r w:rsidRPr="0055018C">
        <w:rPr>
          <w:rFonts w:ascii="Lato" w:hAnsi="Lato" w:cs="Times New Roman"/>
          <w:sz w:val="20"/>
          <w:szCs w:val="20"/>
        </w:rPr>
        <w:t xml:space="preserve"> a commitment to </w:t>
      </w:r>
      <w:r w:rsidR="004837BC" w:rsidRPr="0055018C">
        <w:rPr>
          <w:rFonts w:ascii="Lato" w:hAnsi="Lato" w:cs="Times New Roman"/>
          <w:sz w:val="20"/>
          <w:szCs w:val="20"/>
        </w:rPr>
        <w:t>equity encompasses the</w:t>
      </w:r>
      <w:r w:rsidR="00C41AB7" w:rsidRPr="0055018C">
        <w:rPr>
          <w:rFonts w:ascii="Lato" w:hAnsi="Lato" w:cs="Times New Roman"/>
          <w:sz w:val="20"/>
          <w:szCs w:val="20"/>
        </w:rPr>
        <w:t xml:space="preserve"> range of</w:t>
      </w:r>
      <w:r w:rsidR="004837BC" w:rsidRPr="0055018C">
        <w:rPr>
          <w:rFonts w:ascii="Lato" w:hAnsi="Lato" w:cs="Times New Roman"/>
          <w:sz w:val="20"/>
          <w:szCs w:val="20"/>
        </w:rPr>
        <w:t xml:space="preserve"> Enterprise operations</w:t>
      </w:r>
      <w:r w:rsidRPr="0055018C">
        <w:rPr>
          <w:rFonts w:ascii="Lato" w:hAnsi="Lato" w:cs="Times New Roman"/>
          <w:sz w:val="20"/>
          <w:szCs w:val="20"/>
        </w:rPr>
        <w:t>. To that end, we recommend adding that equity includes</w:t>
      </w:r>
      <w:r w:rsidR="0055018C" w:rsidRPr="0055018C">
        <w:rPr>
          <w:rFonts w:ascii="Lato" w:hAnsi="Lato" w:cs="Times New Roman"/>
          <w:sz w:val="20"/>
          <w:szCs w:val="20"/>
        </w:rPr>
        <w:t xml:space="preserve">: </w:t>
      </w:r>
      <w:r w:rsidR="00A01F7F" w:rsidRPr="0055018C">
        <w:rPr>
          <w:rFonts w:ascii="Lato" w:hAnsi="Lato" w:cs="Times New Roman"/>
          <w:sz w:val="20"/>
          <w:szCs w:val="20"/>
        </w:rPr>
        <w:t>“I</w:t>
      </w:r>
      <w:r w:rsidR="004837BC" w:rsidRPr="0055018C">
        <w:rPr>
          <w:rFonts w:ascii="Lato" w:hAnsi="Lato" w:cs="Times New Roman"/>
          <w:sz w:val="20"/>
          <w:szCs w:val="20"/>
        </w:rPr>
        <w:t xml:space="preserve">mproving </w:t>
      </w:r>
      <w:r w:rsidRPr="0055018C">
        <w:rPr>
          <w:rFonts w:ascii="Lato" w:hAnsi="Lato" w:cs="Times New Roman"/>
          <w:sz w:val="20"/>
          <w:szCs w:val="20"/>
        </w:rPr>
        <w:t xml:space="preserve">the </w:t>
      </w:r>
      <w:r w:rsidR="004837BC" w:rsidRPr="0055018C">
        <w:rPr>
          <w:rFonts w:ascii="Lato" w:hAnsi="Lato" w:cs="Times New Roman"/>
          <w:sz w:val="20"/>
          <w:szCs w:val="20"/>
        </w:rPr>
        <w:t>supply of</w:t>
      </w:r>
      <w:r w:rsidRPr="0055018C">
        <w:rPr>
          <w:rFonts w:ascii="Lato" w:hAnsi="Lato" w:cs="Times New Roman"/>
          <w:sz w:val="20"/>
          <w:szCs w:val="20"/>
        </w:rPr>
        <w:t xml:space="preserve">, </w:t>
      </w:r>
      <w:r w:rsidR="004837BC" w:rsidRPr="0055018C">
        <w:rPr>
          <w:rFonts w:ascii="Lato" w:hAnsi="Lato" w:cs="Times New Roman"/>
          <w:sz w:val="20"/>
          <w:szCs w:val="20"/>
        </w:rPr>
        <w:t>and equitable access to</w:t>
      </w:r>
      <w:r w:rsidRPr="0055018C">
        <w:rPr>
          <w:rFonts w:ascii="Lato" w:hAnsi="Lato" w:cs="Times New Roman"/>
          <w:sz w:val="20"/>
          <w:szCs w:val="20"/>
        </w:rPr>
        <w:t>,</w:t>
      </w:r>
      <w:r w:rsidR="004837BC" w:rsidRPr="0055018C">
        <w:rPr>
          <w:rFonts w:ascii="Lato" w:hAnsi="Lato" w:cs="Times New Roman"/>
          <w:sz w:val="20"/>
          <w:szCs w:val="20"/>
        </w:rPr>
        <w:t xml:space="preserve"> quality affordable rental housing for underserved households and areas</w:t>
      </w:r>
      <w:r w:rsidR="003257F2" w:rsidRPr="0055018C">
        <w:rPr>
          <w:rFonts w:ascii="Lato" w:hAnsi="Lato" w:cs="Times New Roman"/>
          <w:sz w:val="20"/>
          <w:szCs w:val="20"/>
        </w:rPr>
        <w:t>.</w:t>
      </w:r>
      <w:r w:rsidR="00A01F7F" w:rsidRPr="0055018C">
        <w:rPr>
          <w:rFonts w:ascii="Lato" w:hAnsi="Lato" w:cs="Times New Roman"/>
          <w:sz w:val="20"/>
          <w:szCs w:val="20"/>
        </w:rPr>
        <w:t>”</w:t>
      </w:r>
      <w:r w:rsidR="003257F2" w:rsidRPr="0055018C">
        <w:rPr>
          <w:rFonts w:ascii="Lato" w:hAnsi="Lato" w:cs="Times New Roman"/>
          <w:sz w:val="20"/>
          <w:szCs w:val="20"/>
        </w:rPr>
        <w:t xml:space="preserve"> </w:t>
      </w:r>
    </w:p>
    <w:p w14:paraId="0C240C71" w14:textId="1041B322" w:rsidR="003B40C1" w:rsidRPr="0055018C" w:rsidRDefault="00633125" w:rsidP="0055018C">
      <w:p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Taken together, these three</w:t>
      </w:r>
      <w:r w:rsidR="00643784" w:rsidRPr="0055018C">
        <w:rPr>
          <w:rFonts w:ascii="Lato" w:hAnsi="Lato" w:cs="Times New Roman"/>
          <w:sz w:val="20"/>
          <w:szCs w:val="20"/>
        </w:rPr>
        <w:t xml:space="preserve"> outcomes cover the bulk of the Enterprises’ activity areas</w:t>
      </w:r>
      <w:r w:rsidR="004D5A8C" w:rsidRPr="0055018C">
        <w:rPr>
          <w:rFonts w:ascii="Lato" w:hAnsi="Lato" w:cs="Times New Roman"/>
          <w:sz w:val="20"/>
          <w:szCs w:val="20"/>
        </w:rPr>
        <w:t>, which is the reason they can so effectively scaffold the equity plans</w:t>
      </w:r>
      <w:r w:rsidR="00643784" w:rsidRPr="0055018C">
        <w:rPr>
          <w:rFonts w:ascii="Lato" w:hAnsi="Lato" w:cs="Times New Roman"/>
          <w:sz w:val="20"/>
          <w:szCs w:val="20"/>
        </w:rPr>
        <w:t xml:space="preserve">. </w:t>
      </w:r>
      <w:r w:rsidR="003B40C1" w:rsidRPr="0055018C">
        <w:rPr>
          <w:rFonts w:ascii="Lato" w:hAnsi="Lato" w:cs="Times New Roman"/>
          <w:sz w:val="20"/>
          <w:szCs w:val="20"/>
        </w:rPr>
        <w:t xml:space="preserve">We note that the RFI also lists several further objectives and activities that </w:t>
      </w:r>
      <w:r w:rsidR="0014590C" w:rsidRPr="0055018C">
        <w:rPr>
          <w:rFonts w:ascii="Lato" w:hAnsi="Lato" w:cs="Times New Roman"/>
          <w:sz w:val="20"/>
          <w:szCs w:val="20"/>
        </w:rPr>
        <w:t>“</w:t>
      </w:r>
      <w:r w:rsidR="003B40C1" w:rsidRPr="0055018C">
        <w:rPr>
          <w:rFonts w:ascii="Lato" w:hAnsi="Lato" w:cs="Times New Roman"/>
          <w:sz w:val="20"/>
          <w:szCs w:val="20"/>
        </w:rPr>
        <w:t>could be undertaken</w:t>
      </w:r>
      <w:r w:rsidR="0014590C" w:rsidRPr="0055018C">
        <w:rPr>
          <w:rFonts w:ascii="Lato" w:hAnsi="Lato" w:cs="Times New Roman"/>
          <w:sz w:val="20"/>
          <w:szCs w:val="20"/>
        </w:rPr>
        <w:t>,”</w:t>
      </w:r>
      <w:r w:rsidR="003B40C1" w:rsidRPr="0055018C">
        <w:rPr>
          <w:rFonts w:ascii="Lato" w:hAnsi="Lato" w:cs="Times New Roman"/>
          <w:sz w:val="20"/>
          <w:szCs w:val="20"/>
        </w:rPr>
        <w:t xml:space="preserve"> and </w:t>
      </w:r>
      <w:r w:rsidR="00A74A86" w:rsidRPr="0055018C">
        <w:rPr>
          <w:rFonts w:ascii="Lato" w:hAnsi="Lato" w:cs="Times New Roman"/>
          <w:sz w:val="20"/>
          <w:szCs w:val="20"/>
        </w:rPr>
        <w:t>these</w:t>
      </w:r>
      <w:r w:rsidR="003B40C1" w:rsidRPr="0055018C">
        <w:rPr>
          <w:rFonts w:ascii="Lato" w:hAnsi="Lato" w:cs="Times New Roman"/>
          <w:sz w:val="20"/>
          <w:szCs w:val="20"/>
        </w:rPr>
        <w:t xml:space="preserve"> represent sub</w:t>
      </w:r>
      <w:r w:rsidR="0014590C" w:rsidRPr="0055018C">
        <w:rPr>
          <w:rFonts w:ascii="Lato" w:hAnsi="Lato" w:cs="Times New Roman"/>
          <w:sz w:val="20"/>
          <w:szCs w:val="20"/>
        </w:rPr>
        <w:t>-</w:t>
      </w:r>
      <w:r w:rsidR="003B40C1" w:rsidRPr="0055018C">
        <w:rPr>
          <w:rFonts w:ascii="Lato" w:hAnsi="Lato" w:cs="Times New Roman"/>
          <w:sz w:val="20"/>
          <w:szCs w:val="20"/>
        </w:rPr>
        <w:t>goals or actions in service to those three o</w:t>
      </w:r>
      <w:r w:rsidR="00A74A86" w:rsidRPr="0055018C">
        <w:rPr>
          <w:rFonts w:ascii="Lato" w:hAnsi="Lato" w:cs="Times New Roman"/>
          <w:sz w:val="20"/>
          <w:szCs w:val="20"/>
        </w:rPr>
        <w:t>utcom</w:t>
      </w:r>
      <w:r w:rsidR="003B40C1" w:rsidRPr="0055018C">
        <w:rPr>
          <w:rFonts w:ascii="Lato" w:hAnsi="Lato" w:cs="Times New Roman"/>
          <w:sz w:val="20"/>
          <w:szCs w:val="20"/>
        </w:rPr>
        <w:t xml:space="preserve">es. </w:t>
      </w:r>
    </w:p>
    <w:p w14:paraId="35A816AC" w14:textId="00FCF324" w:rsidR="004D5A8C" w:rsidRPr="0055018C" w:rsidRDefault="003257F2" w:rsidP="0055018C">
      <w:pPr>
        <w:shd w:val="clear" w:color="auto" w:fill="FFFFFF"/>
        <w:spacing w:line="240" w:lineRule="auto"/>
        <w:outlineLvl w:val="0"/>
        <w:rPr>
          <w:rFonts w:ascii="Lato" w:hAnsi="Lato" w:cs="Times New Roman"/>
          <w:sz w:val="20"/>
          <w:szCs w:val="20"/>
        </w:rPr>
      </w:pPr>
      <w:r w:rsidRPr="0055018C">
        <w:rPr>
          <w:rFonts w:ascii="Lato" w:hAnsi="Lato" w:cs="Times New Roman"/>
          <w:sz w:val="20"/>
          <w:szCs w:val="20"/>
        </w:rPr>
        <w:t xml:space="preserve">These three outcomes are an effective way to define equity, not only because they align nicely with the Enterprises’ core activities and objectives, but also because they are concrete. Specifically, </w:t>
      </w:r>
    </w:p>
    <w:p w14:paraId="30F932F6" w14:textId="2F2E80C8" w:rsidR="003B40C1" w:rsidRPr="0055018C" w:rsidRDefault="003257F2" w:rsidP="0055018C">
      <w:pPr>
        <w:pStyle w:val="ListParagraph"/>
        <w:numPr>
          <w:ilvl w:val="0"/>
          <w:numId w:val="39"/>
        </w:numPr>
        <w:shd w:val="clear" w:color="auto" w:fill="FFFFFF"/>
        <w:spacing w:line="240" w:lineRule="auto"/>
        <w:outlineLvl w:val="0"/>
        <w:rPr>
          <w:rFonts w:ascii="Lato" w:hAnsi="Lato" w:cs="Times New Roman"/>
          <w:sz w:val="20"/>
          <w:szCs w:val="20"/>
        </w:rPr>
      </w:pPr>
      <w:r w:rsidRPr="0055018C">
        <w:rPr>
          <w:rFonts w:ascii="Lato" w:hAnsi="Lato" w:cs="Times New Roman"/>
          <w:i/>
          <w:sz w:val="20"/>
          <w:szCs w:val="20"/>
        </w:rPr>
        <w:lastRenderedPageBreak/>
        <w:t xml:space="preserve">The outcomes are focused. </w:t>
      </w:r>
      <w:r w:rsidRPr="0055018C">
        <w:rPr>
          <w:rFonts w:ascii="Lato" w:hAnsi="Lato" w:cs="Times New Roman"/>
          <w:sz w:val="20"/>
          <w:szCs w:val="20"/>
        </w:rPr>
        <w:t xml:space="preserve">By targeting a few key outcomes, the FHFA and the Enterprises can drive meaningful change and accountability. </w:t>
      </w:r>
    </w:p>
    <w:p w14:paraId="0082E017" w14:textId="6454ABDD" w:rsidR="00ED4224" w:rsidRPr="0055018C" w:rsidRDefault="003257F2" w:rsidP="0055018C">
      <w:pPr>
        <w:pStyle w:val="ListParagraph"/>
        <w:numPr>
          <w:ilvl w:val="0"/>
          <w:numId w:val="39"/>
        </w:numPr>
        <w:shd w:val="clear" w:color="auto" w:fill="FFFFFF"/>
        <w:spacing w:line="240" w:lineRule="auto"/>
        <w:outlineLvl w:val="0"/>
        <w:rPr>
          <w:rFonts w:ascii="Lato" w:hAnsi="Lato" w:cs="Times New Roman"/>
          <w:sz w:val="20"/>
          <w:szCs w:val="20"/>
        </w:rPr>
      </w:pPr>
      <w:r w:rsidRPr="0055018C">
        <w:rPr>
          <w:rFonts w:ascii="Lato" w:hAnsi="Lato" w:cs="Times New Roman"/>
          <w:i/>
          <w:sz w:val="20"/>
          <w:szCs w:val="20"/>
        </w:rPr>
        <w:t>The outcomes are measurable</w:t>
      </w:r>
      <w:r w:rsidRPr="0055018C">
        <w:rPr>
          <w:rFonts w:ascii="Lato" w:hAnsi="Lato" w:cs="Times New Roman"/>
          <w:sz w:val="20"/>
          <w:szCs w:val="20"/>
        </w:rPr>
        <w:t>.</w:t>
      </w:r>
      <w:r w:rsidRPr="0055018C">
        <w:rPr>
          <w:rFonts w:ascii="Lato" w:hAnsi="Lato" w:cs="Times New Roman"/>
          <w:i/>
          <w:sz w:val="20"/>
          <w:szCs w:val="20"/>
        </w:rPr>
        <w:t xml:space="preserve"> </w:t>
      </w:r>
      <w:r w:rsidR="00ED4224" w:rsidRPr="0055018C">
        <w:rPr>
          <w:rFonts w:ascii="Lato" w:hAnsi="Lato" w:cs="Times New Roman"/>
          <w:sz w:val="20"/>
          <w:szCs w:val="20"/>
        </w:rPr>
        <w:t xml:space="preserve"> </w:t>
      </w:r>
      <w:r w:rsidRPr="0055018C">
        <w:rPr>
          <w:rFonts w:ascii="Lato" w:hAnsi="Lato" w:cs="Times New Roman"/>
          <w:sz w:val="20"/>
          <w:szCs w:val="20"/>
        </w:rPr>
        <w:t xml:space="preserve">With </w:t>
      </w:r>
      <w:r w:rsidR="003F001C" w:rsidRPr="0055018C">
        <w:rPr>
          <w:rFonts w:ascii="Lato" w:hAnsi="Lato" w:cs="Times New Roman"/>
          <w:sz w:val="20"/>
          <w:szCs w:val="20"/>
        </w:rPr>
        <w:t>transparen</w:t>
      </w:r>
      <w:r w:rsidR="00C67980" w:rsidRPr="0055018C">
        <w:rPr>
          <w:rFonts w:ascii="Lato" w:hAnsi="Lato" w:cs="Times New Roman"/>
          <w:sz w:val="20"/>
          <w:szCs w:val="20"/>
        </w:rPr>
        <w:t>t</w:t>
      </w:r>
      <w:r w:rsidR="003F001C" w:rsidRPr="0055018C">
        <w:rPr>
          <w:rFonts w:ascii="Lato" w:hAnsi="Lato" w:cs="Times New Roman"/>
          <w:sz w:val="20"/>
          <w:szCs w:val="20"/>
        </w:rPr>
        <w:t xml:space="preserve"> </w:t>
      </w:r>
      <w:r w:rsidR="00C67980" w:rsidRPr="0055018C">
        <w:rPr>
          <w:rFonts w:ascii="Lato" w:hAnsi="Lato" w:cs="Times New Roman"/>
          <w:sz w:val="20"/>
          <w:szCs w:val="20"/>
        </w:rPr>
        <w:t xml:space="preserve">tracking </w:t>
      </w:r>
      <w:r w:rsidRPr="0055018C">
        <w:rPr>
          <w:rFonts w:ascii="Lato" w:hAnsi="Lato" w:cs="Times New Roman"/>
          <w:sz w:val="20"/>
          <w:szCs w:val="20"/>
        </w:rPr>
        <w:t xml:space="preserve">and evaluation, the FHFA can effectively measure progress towards </w:t>
      </w:r>
      <w:r w:rsidR="00146865" w:rsidRPr="0055018C">
        <w:rPr>
          <w:rFonts w:ascii="Lato" w:hAnsi="Lato" w:cs="Times New Roman"/>
          <w:sz w:val="20"/>
          <w:szCs w:val="20"/>
        </w:rPr>
        <w:t xml:space="preserve">meeting </w:t>
      </w:r>
      <w:r w:rsidR="003F001C" w:rsidRPr="0055018C">
        <w:rPr>
          <w:rFonts w:ascii="Lato" w:hAnsi="Lato" w:cs="Times New Roman"/>
          <w:sz w:val="20"/>
          <w:szCs w:val="20"/>
        </w:rPr>
        <w:t>specific</w:t>
      </w:r>
      <w:r w:rsidR="00146865" w:rsidRPr="0055018C">
        <w:rPr>
          <w:rFonts w:ascii="Lato" w:hAnsi="Lato" w:cs="Times New Roman"/>
          <w:sz w:val="20"/>
          <w:szCs w:val="20"/>
        </w:rPr>
        <w:t xml:space="preserve"> EHFP goals and objectives.</w:t>
      </w:r>
      <w:r w:rsidR="009F3736" w:rsidRPr="0055018C">
        <w:rPr>
          <w:rFonts w:ascii="Lato" w:hAnsi="Lato" w:cs="Times New Roman"/>
          <w:sz w:val="20"/>
          <w:szCs w:val="20"/>
        </w:rPr>
        <w:t xml:space="preserve"> </w:t>
      </w:r>
      <w:r w:rsidR="00ED4224" w:rsidRPr="0055018C">
        <w:rPr>
          <w:rFonts w:ascii="Lato" w:hAnsi="Lato" w:cs="Times New Roman"/>
          <w:sz w:val="20"/>
          <w:szCs w:val="20"/>
        </w:rPr>
        <w:t xml:space="preserve">  </w:t>
      </w:r>
    </w:p>
    <w:p w14:paraId="0620C670" w14:textId="2D13A4D4" w:rsidR="0044497F" w:rsidRPr="0055018C" w:rsidRDefault="16043CCD" w:rsidP="0055018C">
      <w:pPr>
        <w:pStyle w:val="ListParagraph"/>
        <w:numPr>
          <w:ilvl w:val="0"/>
          <w:numId w:val="39"/>
        </w:numPr>
        <w:spacing w:line="240" w:lineRule="auto"/>
        <w:outlineLvl w:val="0"/>
        <w:rPr>
          <w:rFonts w:ascii="Lato" w:hAnsi="Lato" w:cs="Times New Roman"/>
          <w:sz w:val="20"/>
          <w:szCs w:val="20"/>
        </w:rPr>
      </w:pPr>
      <w:r w:rsidRPr="0055018C">
        <w:rPr>
          <w:rFonts w:ascii="Lato" w:hAnsi="Lato" w:cs="Times New Roman"/>
          <w:i/>
          <w:sz w:val="20"/>
          <w:szCs w:val="20"/>
        </w:rPr>
        <w:t>The</w:t>
      </w:r>
      <w:r w:rsidR="003257F2" w:rsidRPr="0055018C">
        <w:rPr>
          <w:rFonts w:ascii="Lato" w:hAnsi="Lato" w:cs="Times New Roman"/>
          <w:i/>
          <w:sz w:val="20"/>
          <w:szCs w:val="20"/>
        </w:rPr>
        <w:t xml:space="preserve"> outcomes</w:t>
      </w:r>
      <w:r w:rsidRPr="0055018C">
        <w:rPr>
          <w:rFonts w:ascii="Lato" w:hAnsi="Lato" w:cs="Times New Roman"/>
          <w:i/>
          <w:sz w:val="20"/>
          <w:szCs w:val="20"/>
        </w:rPr>
        <w:t xml:space="preserve"> directly address legacies of race- and place-based housing discrimination.</w:t>
      </w:r>
      <w:r w:rsidRPr="0055018C">
        <w:rPr>
          <w:rFonts w:ascii="Lato" w:hAnsi="Lato" w:cs="Times New Roman"/>
          <w:sz w:val="20"/>
          <w:szCs w:val="20"/>
        </w:rPr>
        <w:t xml:space="preserve"> </w:t>
      </w:r>
      <w:r w:rsidR="00B47173" w:rsidRPr="0055018C">
        <w:rPr>
          <w:rFonts w:ascii="Lato" w:hAnsi="Lato" w:cs="Times New Roman"/>
          <w:sz w:val="20"/>
          <w:szCs w:val="20"/>
        </w:rPr>
        <w:t xml:space="preserve">By repairing the damage of housing discrimination on both individual households and entire communities, the FHFA and the Enterprises can begin to dismantle the most egregious, powerful and systemic barriers to homeownership, as opposed to simply making change at the margins of the housing finance system. </w:t>
      </w:r>
    </w:p>
    <w:p w14:paraId="0A6E7519" w14:textId="731C45DD" w:rsidR="00BF3C38" w:rsidRPr="0055018C" w:rsidRDefault="00C67980" w:rsidP="0055018C">
      <w:pPr>
        <w:pStyle w:val="ListParagraph"/>
        <w:numPr>
          <w:ilvl w:val="0"/>
          <w:numId w:val="39"/>
        </w:numPr>
        <w:spacing w:line="240" w:lineRule="auto"/>
        <w:outlineLvl w:val="0"/>
        <w:rPr>
          <w:rFonts w:ascii="Lato" w:hAnsi="Lato" w:cs="Times New Roman"/>
          <w:sz w:val="20"/>
          <w:szCs w:val="20"/>
        </w:rPr>
      </w:pPr>
      <w:r w:rsidRPr="0055018C">
        <w:rPr>
          <w:rFonts w:ascii="Lato" w:hAnsi="Lato" w:cs="Times New Roman"/>
          <w:i/>
          <w:sz w:val="20"/>
          <w:szCs w:val="20"/>
        </w:rPr>
        <w:t>The</w:t>
      </w:r>
      <w:r w:rsidR="00B47173" w:rsidRPr="0055018C">
        <w:rPr>
          <w:rFonts w:ascii="Lato" w:hAnsi="Lato" w:cs="Times New Roman"/>
          <w:i/>
          <w:sz w:val="20"/>
          <w:szCs w:val="20"/>
        </w:rPr>
        <w:t xml:space="preserve"> outcomes</w:t>
      </w:r>
      <w:r w:rsidRPr="0055018C">
        <w:rPr>
          <w:rFonts w:ascii="Lato" w:hAnsi="Lato" w:cs="Times New Roman"/>
          <w:i/>
          <w:sz w:val="20"/>
          <w:szCs w:val="20"/>
        </w:rPr>
        <w:t xml:space="preserve"> align with the Enterprises’ role in the housing finance system, with their statutory purposes, and with </w:t>
      </w:r>
      <w:r w:rsidR="00B47173" w:rsidRPr="0055018C">
        <w:rPr>
          <w:rFonts w:ascii="Lato" w:hAnsi="Lato" w:cs="Times New Roman"/>
          <w:i/>
          <w:sz w:val="20"/>
          <w:szCs w:val="20"/>
        </w:rPr>
        <w:t xml:space="preserve">their </w:t>
      </w:r>
      <w:r w:rsidRPr="0055018C">
        <w:rPr>
          <w:rFonts w:ascii="Lato" w:hAnsi="Lato" w:cs="Times New Roman"/>
          <w:i/>
          <w:sz w:val="20"/>
          <w:szCs w:val="20"/>
        </w:rPr>
        <w:t>business and policy motivations.</w:t>
      </w:r>
      <w:r w:rsidRPr="0055018C">
        <w:rPr>
          <w:rFonts w:ascii="Lato" w:hAnsi="Lato" w:cs="Times New Roman"/>
          <w:sz w:val="20"/>
          <w:szCs w:val="20"/>
        </w:rPr>
        <w:t xml:space="preserve"> Recent studies show that closing racial wealth gaps and integrating communities would increase the nation’s GDP by 0.3 to </w:t>
      </w:r>
      <w:hyperlink r:id="rId8" w:history="1">
        <w:r w:rsidRPr="0055018C">
          <w:rPr>
            <w:rFonts w:ascii="Lato" w:hAnsi="Lato" w:cs="Times New Roman"/>
            <w:sz w:val="20"/>
            <w:szCs w:val="20"/>
          </w:rPr>
          <w:t>0.35</w:t>
        </w:r>
      </w:hyperlink>
      <w:r w:rsidRPr="0055018C">
        <w:rPr>
          <w:rFonts w:ascii="Lato" w:hAnsi="Lato" w:cs="Times New Roman"/>
          <w:sz w:val="20"/>
          <w:szCs w:val="20"/>
        </w:rPr>
        <w:t xml:space="preserve"> percentage points per year, adding an additional $5 trillion of growth over the next 5 years.</w:t>
      </w:r>
      <w:r w:rsidR="00D8599F" w:rsidRPr="0055018C">
        <w:rPr>
          <w:rStyle w:val="FootnoteReference"/>
          <w:rFonts w:ascii="Lato" w:hAnsi="Lato" w:cs="Times New Roman"/>
          <w:sz w:val="20"/>
          <w:szCs w:val="20"/>
        </w:rPr>
        <w:footnoteReference w:id="13"/>
      </w:r>
      <w:r w:rsidRPr="0055018C">
        <w:rPr>
          <w:rFonts w:ascii="Lato" w:hAnsi="Lato" w:cs="Times New Roman"/>
          <w:sz w:val="20"/>
          <w:szCs w:val="20"/>
        </w:rPr>
        <w:t> </w:t>
      </w:r>
      <w:r w:rsidR="002C5481" w:rsidRPr="0055018C">
        <w:rPr>
          <w:rFonts w:ascii="Lato" w:hAnsi="Lato" w:cs="Times New Roman"/>
          <w:sz w:val="20"/>
          <w:szCs w:val="20"/>
        </w:rPr>
        <w:t xml:space="preserve"> </w:t>
      </w:r>
      <w:r w:rsidR="00217ACD" w:rsidRPr="0055018C">
        <w:rPr>
          <w:rFonts w:ascii="Lato" w:hAnsi="Lato" w:cs="Times New Roman"/>
          <w:sz w:val="20"/>
          <w:szCs w:val="20"/>
        </w:rPr>
        <w:t>Measurably improving</w:t>
      </w:r>
      <w:r w:rsidR="00BF3C38" w:rsidRPr="0055018C">
        <w:rPr>
          <w:rFonts w:ascii="Lato" w:hAnsi="Lato" w:cs="Times New Roman"/>
          <w:sz w:val="20"/>
          <w:szCs w:val="20"/>
        </w:rPr>
        <w:t xml:space="preserve"> equity in housing market outcomes is a natural channel for the Enterprises to support the stability of the macroeconomy while fulfilling their duties to support underserved populations.</w:t>
      </w:r>
    </w:p>
    <w:p w14:paraId="2A6DF2CE" w14:textId="0C9F6DD9" w:rsidR="003767A3" w:rsidRPr="003027C5" w:rsidRDefault="00217ACD" w:rsidP="0055018C">
      <w:pPr>
        <w:shd w:val="clear" w:color="auto" w:fill="FFFFFF"/>
        <w:spacing w:line="240" w:lineRule="auto"/>
        <w:outlineLvl w:val="0"/>
        <w:rPr>
          <w:rFonts w:ascii="Lato" w:hAnsi="Lato" w:cs="Times New Roman"/>
          <w:b/>
          <w:sz w:val="20"/>
          <w:szCs w:val="20"/>
        </w:rPr>
      </w:pPr>
      <w:r w:rsidRPr="003027C5">
        <w:rPr>
          <w:rFonts w:ascii="Lato" w:hAnsi="Lato" w:cs="Times New Roman"/>
          <w:b/>
          <w:sz w:val="20"/>
          <w:szCs w:val="20"/>
        </w:rPr>
        <w:t>R</w:t>
      </w:r>
      <w:r w:rsidR="003767A3" w:rsidRPr="003027C5">
        <w:rPr>
          <w:rFonts w:ascii="Lato" w:hAnsi="Lato" w:cs="Times New Roman"/>
          <w:b/>
          <w:sz w:val="20"/>
          <w:szCs w:val="20"/>
        </w:rPr>
        <w:t xml:space="preserve">ecommendation #2: </w:t>
      </w:r>
      <w:r w:rsidR="00505F0D" w:rsidRPr="003027C5">
        <w:rPr>
          <w:rFonts w:ascii="Lato" w:hAnsi="Lato" w:cs="Times New Roman"/>
          <w:b/>
          <w:sz w:val="20"/>
          <w:szCs w:val="20"/>
        </w:rPr>
        <w:t xml:space="preserve">Operationalize the </w:t>
      </w:r>
      <w:r w:rsidR="004B350C" w:rsidRPr="003027C5">
        <w:rPr>
          <w:rFonts w:ascii="Lato" w:hAnsi="Lato" w:cs="Times New Roman"/>
          <w:b/>
          <w:sz w:val="20"/>
          <w:szCs w:val="20"/>
        </w:rPr>
        <w:t>definition of “equitable housing finance.”</w:t>
      </w:r>
    </w:p>
    <w:p w14:paraId="16C94611" w14:textId="22F994AA" w:rsidR="00EA1BDE" w:rsidRPr="003027C5" w:rsidRDefault="00C41AB7" w:rsidP="0055018C">
      <w:pPr>
        <w:shd w:val="clear" w:color="auto" w:fill="FFFFFF"/>
        <w:spacing w:line="240" w:lineRule="auto"/>
        <w:outlineLvl w:val="0"/>
        <w:rPr>
          <w:rFonts w:ascii="Lato" w:hAnsi="Lato" w:cs="Times New Roman"/>
          <w:sz w:val="20"/>
          <w:szCs w:val="20"/>
        </w:rPr>
      </w:pPr>
      <w:r w:rsidRPr="003027C5">
        <w:rPr>
          <w:rFonts w:ascii="Lato" w:hAnsi="Lato" w:cs="Times New Roman"/>
          <w:sz w:val="20"/>
          <w:szCs w:val="20"/>
        </w:rPr>
        <w:t xml:space="preserve">With clear and quantifiable objectives as the guide, a range of business </w:t>
      </w:r>
      <w:r w:rsidR="009A5558" w:rsidRPr="003027C5">
        <w:rPr>
          <w:rFonts w:ascii="Lato" w:hAnsi="Lato" w:cs="Times New Roman"/>
          <w:sz w:val="20"/>
          <w:szCs w:val="20"/>
        </w:rPr>
        <w:t xml:space="preserve">and regulatory </w:t>
      </w:r>
      <w:r w:rsidRPr="003027C5">
        <w:rPr>
          <w:rFonts w:ascii="Lato" w:hAnsi="Lato" w:cs="Times New Roman"/>
          <w:sz w:val="20"/>
          <w:szCs w:val="20"/>
        </w:rPr>
        <w:t>activities can be evaluated and held accountable to those objectives. In this way, c</w:t>
      </w:r>
      <w:r w:rsidR="00D94ED3" w:rsidRPr="003027C5">
        <w:rPr>
          <w:rFonts w:ascii="Lato" w:hAnsi="Lato" w:cs="Times New Roman"/>
          <w:sz w:val="20"/>
          <w:szCs w:val="20"/>
        </w:rPr>
        <w:t xml:space="preserve">onceiving of the EHFP as an overlay that affects how the Enterprises think about and execute all their business activities is far more powerful than envisioning this new tool as just another planning regime </w:t>
      </w:r>
      <w:r w:rsidR="00EA1BDE" w:rsidRPr="003027C5">
        <w:rPr>
          <w:rFonts w:ascii="Lato" w:hAnsi="Lato" w:cs="Times New Roman"/>
          <w:sz w:val="20"/>
          <w:szCs w:val="20"/>
        </w:rPr>
        <w:t>joining</w:t>
      </w:r>
      <w:r w:rsidR="00D94ED3" w:rsidRPr="003027C5">
        <w:rPr>
          <w:rFonts w:ascii="Lato" w:hAnsi="Lato" w:cs="Times New Roman"/>
          <w:sz w:val="20"/>
          <w:szCs w:val="20"/>
        </w:rPr>
        <w:t xml:space="preserve"> the housing goals and duty to serve regimes. </w:t>
      </w:r>
    </w:p>
    <w:p w14:paraId="670D9951" w14:textId="01FA6377" w:rsidR="002A044A" w:rsidRPr="003027C5" w:rsidRDefault="154B99BF" w:rsidP="0055018C">
      <w:pPr>
        <w:shd w:val="clear" w:color="auto" w:fill="FFFFFF" w:themeFill="background1"/>
        <w:spacing w:line="240" w:lineRule="auto"/>
        <w:outlineLvl w:val="0"/>
        <w:rPr>
          <w:rFonts w:ascii="Lato" w:hAnsi="Lato" w:cs="Times New Roman"/>
          <w:sz w:val="20"/>
          <w:szCs w:val="20"/>
        </w:rPr>
      </w:pPr>
      <w:r w:rsidRPr="003027C5">
        <w:rPr>
          <w:rFonts w:ascii="Lato" w:hAnsi="Lato" w:cs="Times New Roman"/>
          <w:sz w:val="20"/>
          <w:szCs w:val="20"/>
        </w:rPr>
        <w:t xml:space="preserve">In fact, </w:t>
      </w:r>
      <w:r w:rsidR="00C33DF3" w:rsidRPr="003027C5">
        <w:rPr>
          <w:rFonts w:ascii="Lato" w:hAnsi="Lato" w:cs="Times New Roman"/>
          <w:sz w:val="20"/>
          <w:szCs w:val="20"/>
        </w:rPr>
        <w:t xml:space="preserve">already the </w:t>
      </w:r>
      <w:r w:rsidRPr="003027C5">
        <w:rPr>
          <w:rFonts w:ascii="Lato" w:hAnsi="Lato" w:cs="Times New Roman"/>
          <w:sz w:val="20"/>
          <w:szCs w:val="20"/>
        </w:rPr>
        <w:t xml:space="preserve">FHFA appears to have brought more of an equity overlay to the housing goals, whose latest planning cycle fortuitously overlaps with the 3-year EHFP period. We commend the FHFA for modifying the </w:t>
      </w:r>
      <w:r w:rsidR="002C5481">
        <w:rPr>
          <w:rFonts w:ascii="Lato" w:hAnsi="Lato" w:cs="Times New Roman"/>
          <w:sz w:val="20"/>
          <w:szCs w:val="20"/>
        </w:rPr>
        <w:t xml:space="preserve">low-income areas sub-goals </w:t>
      </w:r>
      <w:r w:rsidRPr="003027C5">
        <w:rPr>
          <w:rFonts w:ascii="Lato" w:hAnsi="Lato" w:cs="Times New Roman"/>
          <w:sz w:val="20"/>
          <w:szCs w:val="20"/>
        </w:rPr>
        <w:t xml:space="preserve">to address equity concerns regarding </w:t>
      </w:r>
      <w:r w:rsidR="002C5481">
        <w:rPr>
          <w:rFonts w:ascii="Lato" w:hAnsi="Lato" w:cs="Times New Roman"/>
          <w:sz w:val="20"/>
          <w:szCs w:val="20"/>
        </w:rPr>
        <w:t>minority neighborhoods</w:t>
      </w:r>
      <w:r w:rsidRPr="003027C5">
        <w:rPr>
          <w:rFonts w:ascii="Lato" w:hAnsi="Lato" w:cs="Times New Roman"/>
          <w:sz w:val="20"/>
          <w:szCs w:val="20"/>
        </w:rPr>
        <w:t xml:space="preserve">. </w:t>
      </w:r>
      <w:r w:rsidR="002C5481">
        <w:rPr>
          <w:rFonts w:ascii="Lato" w:hAnsi="Lato" w:cs="Times New Roman"/>
          <w:sz w:val="20"/>
          <w:szCs w:val="20"/>
        </w:rPr>
        <w:t xml:space="preserve"> H</w:t>
      </w:r>
      <w:r w:rsidR="00CD0702" w:rsidRPr="003027C5">
        <w:rPr>
          <w:rFonts w:ascii="Lato" w:hAnsi="Lato" w:cs="Times New Roman"/>
          <w:sz w:val="20"/>
          <w:szCs w:val="20"/>
        </w:rPr>
        <w:t>owever,</w:t>
      </w:r>
      <w:r w:rsidR="00D94ED3" w:rsidRPr="003027C5">
        <w:rPr>
          <w:rFonts w:ascii="Lato" w:hAnsi="Lato" w:cs="Times New Roman"/>
          <w:sz w:val="20"/>
          <w:szCs w:val="20"/>
        </w:rPr>
        <w:t xml:space="preserve"> </w:t>
      </w:r>
      <w:r w:rsidR="00EA1BDE" w:rsidRPr="003027C5">
        <w:rPr>
          <w:rFonts w:ascii="Lato" w:hAnsi="Lato" w:cs="Times New Roman"/>
          <w:sz w:val="20"/>
          <w:szCs w:val="20"/>
        </w:rPr>
        <w:t>the</w:t>
      </w:r>
      <w:r w:rsidR="00D94ED3" w:rsidRPr="003027C5">
        <w:rPr>
          <w:rFonts w:ascii="Lato" w:hAnsi="Lato" w:cs="Times New Roman"/>
          <w:sz w:val="20"/>
          <w:szCs w:val="20"/>
        </w:rPr>
        <w:t xml:space="preserve"> FHFA </w:t>
      </w:r>
      <w:r w:rsidR="00EA1BDE" w:rsidRPr="003027C5">
        <w:rPr>
          <w:rFonts w:ascii="Lato" w:hAnsi="Lato" w:cs="Times New Roman"/>
          <w:sz w:val="20"/>
          <w:szCs w:val="20"/>
        </w:rPr>
        <w:t>could challenge the Enterprises to go further in</w:t>
      </w:r>
      <w:r w:rsidR="00D94ED3" w:rsidRPr="003027C5">
        <w:rPr>
          <w:rFonts w:ascii="Lato" w:hAnsi="Lato" w:cs="Times New Roman"/>
          <w:sz w:val="20"/>
          <w:szCs w:val="20"/>
        </w:rPr>
        <w:t xml:space="preserve"> serv</w:t>
      </w:r>
      <w:r w:rsidR="00EA1BDE" w:rsidRPr="003027C5">
        <w:rPr>
          <w:rFonts w:ascii="Lato" w:hAnsi="Lato" w:cs="Times New Roman"/>
          <w:sz w:val="20"/>
          <w:szCs w:val="20"/>
        </w:rPr>
        <w:t xml:space="preserve">ing </w:t>
      </w:r>
      <w:r w:rsidR="00D94ED3" w:rsidRPr="003027C5">
        <w:rPr>
          <w:rFonts w:ascii="Lato" w:hAnsi="Lato" w:cs="Times New Roman"/>
          <w:sz w:val="20"/>
          <w:szCs w:val="20"/>
        </w:rPr>
        <w:t xml:space="preserve">greater numbers of people of color </w:t>
      </w:r>
      <w:r w:rsidR="00C67980" w:rsidRPr="003027C5">
        <w:rPr>
          <w:rFonts w:ascii="Lato" w:hAnsi="Lato" w:cs="Times New Roman"/>
          <w:sz w:val="20"/>
          <w:szCs w:val="20"/>
        </w:rPr>
        <w:t>under their</w:t>
      </w:r>
      <w:r w:rsidR="00D94ED3" w:rsidRPr="003027C5">
        <w:rPr>
          <w:rFonts w:ascii="Lato" w:hAnsi="Lato" w:cs="Times New Roman"/>
          <w:sz w:val="20"/>
          <w:szCs w:val="20"/>
        </w:rPr>
        <w:t xml:space="preserve"> single-family home purchase goal (</w:t>
      </w:r>
      <w:r w:rsidR="00516B89" w:rsidRPr="003027C5">
        <w:rPr>
          <w:rFonts w:ascii="Lato" w:hAnsi="Lato" w:cs="Times New Roman"/>
          <w:sz w:val="20"/>
          <w:szCs w:val="20"/>
        </w:rPr>
        <w:t xml:space="preserve">recently raised </w:t>
      </w:r>
      <w:r w:rsidR="00D94ED3" w:rsidRPr="003027C5">
        <w:rPr>
          <w:rFonts w:ascii="Lato" w:hAnsi="Lato" w:cs="Times New Roman"/>
          <w:sz w:val="20"/>
          <w:szCs w:val="20"/>
        </w:rPr>
        <w:t>from 24% to 28%), the goal for very-low-income families (</w:t>
      </w:r>
      <w:r w:rsidR="00516B89" w:rsidRPr="003027C5">
        <w:rPr>
          <w:rFonts w:ascii="Lato" w:hAnsi="Lato" w:cs="Times New Roman"/>
          <w:sz w:val="20"/>
          <w:szCs w:val="20"/>
        </w:rPr>
        <w:t xml:space="preserve">increased </w:t>
      </w:r>
      <w:r w:rsidR="00D94ED3" w:rsidRPr="003027C5">
        <w:rPr>
          <w:rFonts w:ascii="Lato" w:hAnsi="Lato" w:cs="Times New Roman"/>
          <w:sz w:val="20"/>
          <w:szCs w:val="20"/>
        </w:rPr>
        <w:t>from 6% to 7%), and the refinance goal for low-income families (</w:t>
      </w:r>
      <w:r w:rsidR="00516B89" w:rsidRPr="003027C5">
        <w:rPr>
          <w:rFonts w:ascii="Lato" w:hAnsi="Lato" w:cs="Times New Roman"/>
          <w:sz w:val="20"/>
          <w:szCs w:val="20"/>
        </w:rPr>
        <w:t xml:space="preserve">increased </w:t>
      </w:r>
      <w:r w:rsidR="00D94ED3" w:rsidRPr="003027C5">
        <w:rPr>
          <w:rFonts w:ascii="Lato" w:hAnsi="Lato" w:cs="Times New Roman"/>
          <w:sz w:val="20"/>
          <w:szCs w:val="20"/>
        </w:rPr>
        <w:t>from 21% to 26%).</w:t>
      </w:r>
      <w:r w:rsidR="009B0900" w:rsidRPr="003027C5">
        <w:rPr>
          <w:rFonts w:ascii="Lato" w:hAnsi="Lato" w:cs="Times New Roman"/>
          <w:sz w:val="20"/>
          <w:szCs w:val="20"/>
        </w:rPr>
        <w:t xml:space="preserve"> </w:t>
      </w:r>
      <w:r w:rsidR="002A044A" w:rsidRPr="003027C5">
        <w:rPr>
          <w:rFonts w:ascii="Lato" w:hAnsi="Lato" w:cs="Times New Roman"/>
          <w:sz w:val="20"/>
          <w:szCs w:val="20"/>
        </w:rPr>
        <w:t xml:space="preserve">Given the lagging racial </w:t>
      </w:r>
      <w:r w:rsidR="008757AB" w:rsidRPr="003027C5">
        <w:rPr>
          <w:rFonts w:ascii="Lato" w:hAnsi="Lato" w:cs="Times New Roman"/>
          <w:sz w:val="20"/>
          <w:szCs w:val="20"/>
        </w:rPr>
        <w:t xml:space="preserve">disparities in </w:t>
      </w:r>
      <w:r w:rsidR="00C33DF3" w:rsidRPr="003027C5">
        <w:rPr>
          <w:rFonts w:ascii="Lato" w:hAnsi="Lato" w:cs="Times New Roman"/>
          <w:sz w:val="20"/>
          <w:szCs w:val="20"/>
        </w:rPr>
        <w:t xml:space="preserve">the Enterprises’ </w:t>
      </w:r>
      <w:r w:rsidR="002A044A" w:rsidRPr="003027C5">
        <w:rPr>
          <w:rFonts w:ascii="Lato" w:hAnsi="Lato" w:cs="Times New Roman"/>
          <w:sz w:val="20"/>
          <w:szCs w:val="20"/>
        </w:rPr>
        <w:t xml:space="preserve">mortgage purchase and refinancing </w:t>
      </w:r>
      <w:r w:rsidR="008757AB" w:rsidRPr="003027C5">
        <w:rPr>
          <w:rFonts w:ascii="Lato" w:hAnsi="Lato" w:cs="Times New Roman"/>
          <w:sz w:val="20"/>
          <w:szCs w:val="20"/>
        </w:rPr>
        <w:t xml:space="preserve">activities </w:t>
      </w:r>
      <w:r w:rsidR="002A044A" w:rsidRPr="003027C5">
        <w:rPr>
          <w:rFonts w:ascii="Lato" w:hAnsi="Lato" w:cs="Times New Roman"/>
          <w:sz w:val="20"/>
          <w:szCs w:val="20"/>
        </w:rPr>
        <w:t>described earlier, casting a broad equity lens across activities suggests that the Enterprises should report their affordable mortgage purchase and refinance activities by race and ethnicity.</w:t>
      </w:r>
      <w:r w:rsidR="0055018C">
        <w:rPr>
          <w:rFonts w:ascii="Lato" w:hAnsi="Lato" w:cs="Times New Roman"/>
          <w:sz w:val="20"/>
          <w:szCs w:val="20"/>
        </w:rPr>
        <w:t xml:space="preserve"> </w:t>
      </w:r>
      <w:r w:rsidR="002A044A" w:rsidRPr="003027C5">
        <w:rPr>
          <w:rFonts w:ascii="Lato" w:hAnsi="Lato" w:cs="Times New Roman"/>
          <w:sz w:val="20"/>
          <w:szCs w:val="20"/>
        </w:rPr>
        <w:t xml:space="preserve"> Alternatively, FHFA should consider creating sub</w:t>
      </w:r>
      <w:r w:rsidR="00C33DF3" w:rsidRPr="003027C5">
        <w:rPr>
          <w:rFonts w:ascii="Lato" w:hAnsi="Lato" w:cs="Times New Roman"/>
          <w:sz w:val="20"/>
          <w:szCs w:val="20"/>
        </w:rPr>
        <w:t>-</w:t>
      </w:r>
      <w:r w:rsidR="002A044A" w:rsidRPr="003027C5">
        <w:rPr>
          <w:rFonts w:ascii="Lato" w:hAnsi="Lato" w:cs="Times New Roman"/>
          <w:sz w:val="20"/>
          <w:szCs w:val="20"/>
        </w:rPr>
        <w:t>goals for people of color within the overall purchase and refinance goals.</w:t>
      </w:r>
    </w:p>
    <w:p w14:paraId="119B219D" w14:textId="61B79C4B" w:rsidR="00E14CF6" w:rsidRPr="003027C5" w:rsidRDefault="002362E7" w:rsidP="0055018C">
      <w:pPr>
        <w:shd w:val="clear" w:color="auto" w:fill="FFFFFF"/>
        <w:spacing w:line="240" w:lineRule="auto"/>
        <w:outlineLvl w:val="0"/>
        <w:rPr>
          <w:rFonts w:ascii="Lato" w:hAnsi="Lato" w:cs="Times New Roman"/>
          <w:sz w:val="20"/>
          <w:szCs w:val="20"/>
        </w:rPr>
      </w:pPr>
      <w:r w:rsidRPr="003027C5">
        <w:rPr>
          <w:rFonts w:ascii="Lato" w:hAnsi="Lato" w:cs="Times New Roman"/>
          <w:sz w:val="20"/>
          <w:szCs w:val="20"/>
        </w:rPr>
        <w:t xml:space="preserve">This is just one of the many </w:t>
      </w:r>
      <w:r w:rsidR="009E785F" w:rsidRPr="003027C5">
        <w:rPr>
          <w:rFonts w:ascii="Lato" w:hAnsi="Lato" w:cs="Times New Roman"/>
          <w:sz w:val="20"/>
          <w:szCs w:val="20"/>
        </w:rPr>
        <w:t xml:space="preserve">business and regulatory activities that could be adjusted by </w:t>
      </w:r>
      <w:r w:rsidRPr="003027C5">
        <w:rPr>
          <w:rFonts w:ascii="Lato" w:hAnsi="Lato" w:cs="Times New Roman"/>
          <w:sz w:val="20"/>
          <w:szCs w:val="20"/>
        </w:rPr>
        <w:t xml:space="preserve">the FHFA and the Enterprises to implement an “equity </w:t>
      </w:r>
      <w:r w:rsidR="00516B89" w:rsidRPr="003027C5">
        <w:rPr>
          <w:rFonts w:ascii="Lato" w:hAnsi="Lato" w:cs="Times New Roman"/>
          <w:sz w:val="20"/>
          <w:szCs w:val="20"/>
        </w:rPr>
        <w:t>overlay</w:t>
      </w:r>
      <w:r w:rsidR="00C33DF3" w:rsidRPr="003027C5">
        <w:rPr>
          <w:rFonts w:ascii="Lato" w:hAnsi="Lato" w:cs="Times New Roman"/>
          <w:sz w:val="20"/>
          <w:szCs w:val="20"/>
        </w:rPr>
        <w:t xml:space="preserve">.” </w:t>
      </w:r>
      <w:r w:rsidRPr="003027C5">
        <w:rPr>
          <w:rFonts w:ascii="Lato" w:hAnsi="Lato" w:cs="Times New Roman"/>
          <w:sz w:val="20"/>
          <w:szCs w:val="20"/>
        </w:rPr>
        <w:t xml:space="preserve">Below are a few </w:t>
      </w:r>
      <w:r w:rsidR="00E14CF6" w:rsidRPr="003027C5">
        <w:rPr>
          <w:rFonts w:ascii="Lato" w:hAnsi="Lato" w:cs="Times New Roman"/>
          <w:sz w:val="20"/>
          <w:szCs w:val="20"/>
        </w:rPr>
        <w:t>more</w:t>
      </w:r>
      <w:r w:rsidRPr="003027C5">
        <w:rPr>
          <w:rFonts w:ascii="Lato" w:hAnsi="Lato" w:cs="Times New Roman"/>
          <w:sz w:val="20"/>
          <w:szCs w:val="20"/>
        </w:rPr>
        <w:t xml:space="preserve"> strategies we think would be especially fruitful</w:t>
      </w:r>
      <w:r w:rsidR="00CD0702" w:rsidRPr="003027C5">
        <w:rPr>
          <w:rFonts w:ascii="Lato" w:hAnsi="Lato" w:cs="Times New Roman"/>
          <w:sz w:val="20"/>
          <w:szCs w:val="20"/>
        </w:rPr>
        <w:t xml:space="preserve">. </w:t>
      </w:r>
      <w:r w:rsidR="00C33DF3" w:rsidRPr="003027C5">
        <w:rPr>
          <w:rFonts w:ascii="Lato" w:hAnsi="Lato" w:cs="Times New Roman"/>
          <w:sz w:val="20"/>
          <w:szCs w:val="20"/>
        </w:rPr>
        <w:t>That said, please note that t</w:t>
      </w:r>
      <w:r w:rsidR="00C41AB7" w:rsidRPr="003027C5">
        <w:rPr>
          <w:rFonts w:ascii="Lato" w:hAnsi="Lato" w:cs="Times New Roman"/>
          <w:sz w:val="20"/>
          <w:szCs w:val="20"/>
        </w:rPr>
        <w:t xml:space="preserve">his is in no way a </w:t>
      </w:r>
      <w:r w:rsidRPr="003027C5">
        <w:rPr>
          <w:rFonts w:ascii="Lato" w:hAnsi="Lato" w:cs="Times New Roman"/>
          <w:sz w:val="20"/>
          <w:szCs w:val="20"/>
        </w:rPr>
        <w:t>comprehensive list.</w:t>
      </w:r>
      <w:r w:rsidR="00CD0702" w:rsidRPr="003027C5">
        <w:rPr>
          <w:rFonts w:ascii="Lato" w:hAnsi="Lato" w:cs="Times New Roman"/>
          <w:sz w:val="20"/>
          <w:szCs w:val="20"/>
        </w:rPr>
        <w:t xml:space="preserve"> However, th</w:t>
      </w:r>
      <w:r w:rsidR="00C33DF3" w:rsidRPr="003027C5">
        <w:rPr>
          <w:rFonts w:ascii="Lato" w:hAnsi="Lato" w:cs="Times New Roman"/>
          <w:sz w:val="20"/>
          <w:szCs w:val="20"/>
        </w:rPr>
        <w:t>e list does</w:t>
      </w:r>
      <w:r w:rsidR="00CD0702" w:rsidRPr="003027C5">
        <w:rPr>
          <w:rFonts w:ascii="Lato" w:hAnsi="Lato" w:cs="Times New Roman"/>
          <w:sz w:val="20"/>
          <w:szCs w:val="20"/>
        </w:rPr>
        <w:t xml:space="preserve"> </w:t>
      </w:r>
      <w:r w:rsidR="00CD0702" w:rsidRPr="003027C5">
        <w:rPr>
          <w:rFonts w:ascii="Lato" w:hAnsi="Lato" w:cs="Times New Roman"/>
          <w:sz w:val="20"/>
          <w:szCs w:val="20"/>
        </w:rPr>
        <w:lastRenderedPageBreak/>
        <w:t xml:space="preserve">illustrate the myriad of ways that </w:t>
      </w:r>
      <w:r w:rsidR="00C33DF3" w:rsidRPr="003027C5">
        <w:rPr>
          <w:rFonts w:ascii="Lato" w:hAnsi="Lato" w:cs="Times New Roman"/>
          <w:sz w:val="20"/>
          <w:szCs w:val="20"/>
        </w:rPr>
        <w:t>an “equity overlay” would</w:t>
      </w:r>
      <w:r w:rsidR="00CD0702" w:rsidRPr="003027C5">
        <w:rPr>
          <w:rFonts w:ascii="Lato" w:hAnsi="Lato" w:cs="Times New Roman"/>
          <w:sz w:val="20"/>
          <w:szCs w:val="20"/>
        </w:rPr>
        <w:t xml:space="preserve"> influence not only business but also operational </w:t>
      </w:r>
      <w:r w:rsidR="00C41AB7" w:rsidRPr="003027C5">
        <w:rPr>
          <w:rFonts w:ascii="Lato" w:hAnsi="Lato" w:cs="Times New Roman"/>
          <w:sz w:val="20"/>
          <w:szCs w:val="20"/>
        </w:rPr>
        <w:t xml:space="preserve">and regulatory </w:t>
      </w:r>
      <w:r w:rsidR="00CD0702" w:rsidRPr="003027C5">
        <w:rPr>
          <w:rFonts w:ascii="Lato" w:hAnsi="Lato" w:cs="Times New Roman"/>
          <w:sz w:val="20"/>
          <w:szCs w:val="20"/>
        </w:rPr>
        <w:t>activities.</w:t>
      </w:r>
    </w:p>
    <w:p w14:paraId="4EEC8AB3" w14:textId="52F2B656" w:rsidR="00C41AB7" w:rsidRPr="003027C5" w:rsidRDefault="16043CCD" w:rsidP="0055018C">
      <w:pPr>
        <w:pStyle w:val="NormalWeb"/>
        <w:shd w:val="clear" w:color="auto" w:fill="FFFFFF" w:themeFill="background1"/>
        <w:spacing w:before="0" w:beforeAutospacing="0" w:after="160" w:afterAutospacing="0"/>
        <w:rPr>
          <w:rFonts w:ascii="Lato" w:hAnsi="Lato"/>
          <w:color w:val="000000" w:themeColor="text1"/>
          <w:sz w:val="20"/>
          <w:szCs w:val="20"/>
        </w:rPr>
      </w:pPr>
      <w:r w:rsidRPr="003027C5">
        <w:rPr>
          <w:rFonts w:ascii="Lato" w:hAnsi="Lato"/>
          <w:b/>
          <w:bCs/>
          <w:i/>
          <w:iCs/>
          <w:sz w:val="20"/>
          <w:szCs w:val="20"/>
        </w:rPr>
        <w:t xml:space="preserve">(a) </w:t>
      </w:r>
      <w:r w:rsidRPr="003027C5">
        <w:rPr>
          <w:rFonts w:ascii="Lato" w:hAnsi="Lato"/>
          <w:b/>
          <w:bCs/>
          <w:i/>
          <w:iCs/>
          <w:sz w:val="20"/>
          <w:szCs w:val="20"/>
          <w:u w:val="single"/>
        </w:rPr>
        <w:t>Review and rethink underwriting standards</w:t>
      </w:r>
      <w:r w:rsidRPr="003027C5">
        <w:rPr>
          <w:rFonts w:ascii="Lato" w:hAnsi="Lato"/>
          <w:b/>
          <w:bCs/>
          <w:i/>
          <w:iCs/>
          <w:sz w:val="20"/>
          <w:szCs w:val="20"/>
        </w:rPr>
        <w:t xml:space="preserve">. </w:t>
      </w:r>
      <w:r w:rsidRPr="003027C5">
        <w:rPr>
          <w:rFonts w:ascii="Lato" w:hAnsi="Lato"/>
          <w:sz w:val="20"/>
          <w:szCs w:val="20"/>
        </w:rPr>
        <w:t xml:space="preserve">A pivotal </w:t>
      </w:r>
      <w:r w:rsidRPr="003027C5">
        <w:rPr>
          <w:rFonts w:ascii="Lato" w:hAnsi="Lato"/>
          <w:color w:val="000000" w:themeColor="text1"/>
          <w:sz w:val="20"/>
          <w:szCs w:val="20"/>
        </w:rPr>
        <w:t>factor in attaining homeownership, and an area in which the Enterprises are especially influential, is the standards for who gets a mortgage. Today, the</w:t>
      </w:r>
      <w:r w:rsidR="00F25A3A">
        <w:rPr>
          <w:rFonts w:ascii="Lato" w:hAnsi="Lato"/>
          <w:color w:val="000000" w:themeColor="text1"/>
          <w:sz w:val="20"/>
          <w:szCs w:val="20"/>
        </w:rPr>
        <w:t xml:space="preserve"> Ent</w:t>
      </w:r>
      <w:r w:rsidR="0055018C">
        <w:rPr>
          <w:rFonts w:ascii="Lato" w:hAnsi="Lato"/>
          <w:color w:val="000000" w:themeColor="text1"/>
          <w:sz w:val="20"/>
          <w:szCs w:val="20"/>
        </w:rPr>
        <w:t>e</w:t>
      </w:r>
      <w:r w:rsidR="00F25A3A">
        <w:rPr>
          <w:rFonts w:ascii="Lato" w:hAnsi="Lato"/>
          <w:color w:val="000000" w:themeColor="text1"/>
          <w:sz w:val="20"/>
          <w:szCs w:val="20"/>
        </w:rPr>
        <w:t>rprises’</w:t>
      </w:r>
      <w:r w:rsidRPr="003027C5">
        <w:rPr>
          <w:rFonts w:ascii="Lato" w:hAnsi="Lato"/>
          <w:color w:val="000000" w:themeColor="text1"/>
          <w:sz w:val="20"/>
          <w:szCs w:val="20"/>
        </w:rPr>
        <w:t xml:space="preserve"> underwriting box is narrow, a relic of the Great Recession</w:t>
      </w:r>
      <w:r w:rsidR="00CE322C" w:rsidRPr="003027C5">
        <w:rPr>
          <w:rFonts w:ascii="Lato" w:hAnsi="Lato"/>
          <w:color w:val="000000" w:themeColor="text1"/>
          <w:sz w:val="20"/>
          <w:szCs w:val="20"/>
        </w:rPr>
        <w:t xml:space="preserve"> that is</w:t>
      </w:r>
      <w:r w:rsidRPr="003027C5">
        <w:rPr>
          <w:rFonts w:ascii="Lato" w:hAnsi="Lato"/>
          <w:color w:val="000000" w:themeColor="text1"/>
          <w:sz w:val="20"/>
          <w:szCs w:val="20"/>
        </w:rPr>
        <w:t xml:space="preserve"> </w:t>
      </w:r>
      <w:r w:rsidR="00F25A3A">
        <w:rPr>
          <w:rFonts w:ascii="Lato" w:hAnsi="Lato"/>
          <w:color w:val="000000" w:themeColor="text1"/>
          <w:sz w:val="20"/>
          <w:szCs w:val="20"/>
        </w:rPr>
        <w:t xml:space="preserve">likely exacerbated by </w:t>
      </w:r>
      <w:r w:rsidR="00F25A3A" w:rsidRPr="00F25A3A">
        <w:rPr>
          <w:rFonts w:ascii="Lato" w:hAnsi="Lato"/>
          <w:color w:val="000000" w:themeColor="text1"/>
          <w:sz w:val="20"/>
          <w:szCs w:val="20"/>
        </w:rPr>
        <w:t>lender overlays and Enterprise loan-level risk based pricing</w:t>
      </w:r>
      <w:r w:rsidR="00F25A3A">
        <w:rPr>
          <w:rFonts w:ascii="Lato" w:hAnsi="Lato"/>
          <w:color w:val="000000" w:themeColor="text1"/>
          <w:sz w:val="20"/>
          <w:szCs w:val="20"/>
        </w:rPr>
        <w:t xml:space="preserve">, </w:t>
      </w:r>
      <w:r w:rsidRPr="003027C5">
        <w:rPr>
          <w:rFonts w:ascii="Lato" w:hAnsi="Lato"/>
          <w:color w:val="000000" w:themeColor="text1"/>
          <w:sz w:val="20"/>
          <w:szCs w:val="20"/>
        </w:rPr>
        <w:t>impeding homeownership for many who might have been approved under a more “normal,” risk-tolerant set of underwriting guidelines. As researchers from the Urban Institute’s Housing Finance Policy Center point out in the most</w:t>
      </w:r>
      <w:r w:rsidR="00CE322C" w:rsidRPr="003027C5">
        <w:rPr>
          <w:rFonts w:ascii="Lato" w:hAnsi="Lato"/>
          <w:color w:val="000000" w:themeColor="text1"/>
          <w:sz w:val="20"/>
          <w:szCs w:val="20"/>
        </w:rPr>
        <w:t xml:space="preserve"> recent</w:t>
      </w:r>
      <w:r w:rsidRPr="003027C5">
        <w:rPr>
          <w:rFonts w:ascii="Lato" w:hAnsi="Lato"/>
          <w:color w:val="000000" w:themeColor="text1"/>
          <w:sz w:val="20"/>
          <w:szCs w:val="20"/>
        </w:rPr>
        <w:t xml:space="preserve"> report on the housing credit availability index, “Significant space remains to safely expand the credit box. If the current default risk was doubled across all channels, risk would still be well within the pre-crisis standard of 12.5 percent from 2001 to 2003 for the whole mortgage market.”</w:t>
      </w:r>
      <w:r w:rsidR="00C41AB7" w:rsidRPr="003027C5">
        <w:rPr>
          <w:rStyle w:val="FootnoteReference"/>
          <w:rFonts w:ascii="Lato" w:hAnsi="Lato"/>
          <w:color w:val="000000" w:themeColor="text1"/>
          <w:sz w:val="20"/>
          <w:szCs w:val="20"/>
        </w:rPr>
        <w:footnoteReference w:id="14"/>
      </w:r>
    </w:p>
    <w:p w14:paraId="1BA8E4A5" w14:textId="2A67450F" w:rsidR="009A5558" w:rsidRPr="003027C5" w:rsidRDefault="16043CCD" w:rsidP="0055018C">
      <w:pPr>
        <w:shd w:val="clear" w:color="auto" w:fill="FFFFFF" w:themeFill="background1"/>
        <w:spacing w:line="240" w:lineRule="auto"/>
        <w:outlineLvl w:val="0"/>
        <w:rPr>
          <w:rFonts w:ascii="Lato" w:hAnsi="Lato" w:cs="Times New Roman"/>
          <w:color w:val="000000" w:themeColor="text1"/>
          <w:sz w:val="20"/>
          <w:szCs w:val="20"/>
        </w:rPr>
      </w:pPr>
      <w:r w:rsidRPr="003027C5">
        <w:rPr>
          <w:rFonts w:ascii="Lato" w:hAnsi="Lato" w:cs="Times New Roman"/>
          <w:sz w:val="20"/>
          <w:szCs w:val="20"/>
        </w:rPr>
        <w:t xml:space="preserve">The introduction of the EHFP requirement creates the opportunity to make significantly more progress towards an equitable housing finance system by recognizing that although the Enterprises’ conforming mortgage standards may seem to be race neutral, they aren’t. </w:t>
      </w:r>
      <w:r w:rsidRPr="003027C5">
        <w:rPr>
          <w:rFonts w:ascii="Lato" w:hAnsi="Lato" w:cs="Times New Roman"/>
          <w:color w:val="000000" w:themeColor="text1"/>
          <w:sz w:val="20"/>
          <w:szCs w:val="20"/>
        </w:rPr>
        <w:t>Despite increased reliance on automated and algorithmic underwriting, the three basic “</w:t>
      </w:r>
      <w:r w:rsidR="00F4296E">
        <w:rPr>
          <w:rFonts w:ascii="Lato" w:hAnsi="Lato" w:cs="Times New Roman"/>
          <w:color w:val="000000" w:themeColor="text1"/>
          <w:sz w:val="20"/>
          <w:szCs w:val="20"/>
        </w:rPr>
        <w:t>C’s”</w:t>
      </w:r>
      <w:r w:rsidRPr="003027C5">
        <w:rPr>
          <w:rFonts w:ascii="Lato" w:hAnsi="Lato" w:cs="Times New Roman"/>
          <w:color w:val="000000" w:themeColor="text1"/>
          <w:sz w:val="20"/>
          <w:szCs w:val="20"/>
        </w:rPr>
        <w:t xml:space="preserve"> of mortgage lending – credit, collateral and capacity – still drive underwriting decisions today. While these criteria don’t explicitly include race, relying on them nevertheless </w:t>
      </w:r>
      <w:r w:rsidRPr="003027C5">
        <w:rPr>
          <w:rFonts w:ascii="Lato" w:hAnsi="Lato" w:cs="Times New Roman"/>
          <w:sz w:val="20"/>
          <w:szCs w:val="20"/>
        </w:rPr>
        <w:t>perpetuates racial inequities.</w:t>
      </w:r>
      <w:r w:rsidR="00C41AB7" w:rsidRPr="003027C5">
        <w:rPr>
          <w:rStyle w:val="FootnoteReference"/>
          <w:rFonts w:ascii="Lato" w:hAnsi="Lato" w:cs="Times New Roman"/>
          <w:sz w:val="20"/>
          <w:szCs w:val="20"/>
        </w:rPr>
        <w:footnoteReference w:id="15"/>
      </w:r>
      <w:r w:rsidRPr="003027C5">
        <w:rPr>
          <w:rFonts w:ascii="Lato" w:hAnsi="Lato" w:cs="Times New Roman"/>
          <w:sz w:val="20"/>
          <w:szCs w:val="20"/>
        </w:rPr>
        <w:t xml:space="preserve"> Thanks to a long history of discrimination, t</w:t>
      </w:r>
      <w:r w:rsidRPr="003027C5">
        <w:rPr>
          <w:rFonts w:ascii="Lato" w:hAnsi="Lato" w:cs="Times New Roman"/>
          <w:color w:val="000000" w:themeColor="text1"/>
          <w:sz w:val="20"/>
          <w:szCs w:val="20"/>
        </w:rPr>
        <w:t>he typical white household holds more wealth, has higher credit scores, higher income and debt-to-income ratios</w:t>
      </w:r>
      <w:r w:rsidR="00F4296E">
        <w:rPr>
          <w:rFonts w:ascii="Lato" w:hAnsi="Lato" w:cs="Times New Roman"/>
          <w:color w:val="000000" w:themeColor="text1"/>
          <w:sz w:val="20"/>
          <w:szCs w:val="20"/>
        </w:rPr>
        <w:t>,</w:t>
      </w:r>
      <w:r w:rsidRPr="003027C5">
        <w:rPr>
          <w:rFonts w:ascii="Lato" w:hAnsi="Lato" w:cs="Times New Roman"/>
          <w:color w:val="000000" w:themeColor="text1"/>
          <w:sz w:val="20"/>
          <w:szCs w:val="20"/>
        </w:rPr>
        <w:t xml:space="preserve"> and lower loan-to-values than is the case for Black, Hispanic and American Indian households. </w:t>
      </w:r>
    </w:p>
    <w:p w14:paraId="74851C03" w14:textId="44CF8019" w:rsidR="00786902" w:rsidRPr="0055018C" w:rsidRDefault="000F42BA" w:rsidP="0055018C">
      <w:pPr>
        <w:pStyle w:val="NormalWeb"/>
        <w:shd w:val="clear" w:color="auto" w:fill="FFFFFF"/>
        <w:spacing w:before="0" w:beforeAutospacing="0" w:after="160" w:afterAutospacing="0"/>
        <w:rPr>
          <w:rFonts w:ascii="Lato" w:hAnsi="Lato"/>
          <w:color w:val="000000" w:themeColor="text1"/>
          <w:sz w:val="20"/>
          <w:szCs w:val="20"/>
        </w:rPr>
      </w:pPr>
      <w:r w:rsidRPr="003027C5">
        <w:rPr>
          <w:rFonts w:ascii="Lato" w:hAnsi="Lato"/>
          <w:color w:val="000000" w:themeColor="text1"/>
          <w:sz w:val="20"/>
          <w:szCs w:val="20"/>
        </w:rPr>
        <w:t xml:space="preserve">Recent </w:t>
      </w:r>
      <w:r w:rsidR="00CE322C" w:rsidRPr="003027C5">
        <w:rPr>
          <w:rFonts w:ascii="Lato" w:hAnsi="Lato"/>
          <w:color w:val="000000" w:themeColor="text1"/>
          <w:sz w:val="20"/>
          <w:szCs w:val="20"/>
        </w:rPr>
        <w:t xml:space="preserve">moves </w:t>
      </w:r>
      <w:r w:rsidRPr="003027C5">
        <w:rPr>
          <w:rFonts w:ascii="Lato" w:hAnsi="Lato"/>
          <w:color w:val="000000" w:themeColor="text1"/>
          <w:sz w:val="20"/>
          <w:szCs w:val="20"/>
        </w:rPr>
        <w:t xml:space="preserve">by the Enterprises to begin to consider rental payment history as part of the loan decision process are a good first step. </w:t>
      </w:r>
      <w:r w:rsidR="00CE322C" w:rsidRPr="003027C5">
        <w:rPr>
          <w:rFonts w:ascii="Lato" w:hAnsi="Lato"/>
          <w:color w:val="000000" w:themeColor="text1"/>
          <w:sz w:val="20"/>
          <w:szCs w:val="20"/>
        </w:rPr>
        <w:t xml:space="preserve">But the Enterprises can go much farther. </w:t>
      </w:r>
      <w:r w:rsidR="00F04BFA" w:rsidRPr="003027C5">
        <w:rPr>
          <w:rFonts w:ascii="Lato" w:hAnsi="Lato"/>
          <w:color w:val="000000" w:themeColor="text1"/>
          <w:sz w:val="20"/>
          <w:szCs w:val="20"/>
        </w:rPr>
        <w:t>A</w:t>
      </w:r>
      <w:r w:rsidR="00DC0B41" w:rsidRPr="003027C5">
        <w:rPr>
          <w:rFonts w:ascii="Lato" w:hAnsi="Lato"/>
          <w:color w:val="000000" w:themeColor="text1"/>
          <w:sz w:val="20"/>
          <w:szCs w:val="20"/>
        </w:rPr>
        <w:t xml:space="preserve">ll </w:t>
      </w:r>
      <w:r w:rsidR="00C41AB7" w:rsidRPr="003027C5">
        <w:rPr>
          <w:rFonts w:ascii="Lato" w:hAnsi="Lato"/>
          <w:color w:val="000000" w:themeColor="text1"/>
          <w:sz w:val="20"/>
          <w:szCs w:val="20"/>
        </w:rPr>
        <w:t xml:space="preserve">current underwriting </w:t>
      </w:r>
      <w:r w:rsidR="00DC0B41" w:rsidRPr="003027C5">
        <w:rPr>
          <w:rFonts w:ascii="Lato" w:hAnsi="Lato"/>
          <w:color w:val="000000" w:themeColor="text1"/>
          <w:sz w:val="20"/>
          <w:szCs w:val="20"/>
        </w:rPr>
        <w:t>determinants</w:t>
      </w:r>
      <w:r w:rsidR="00C41AB7" w:rsidRPr="003027C5">
        <w:rPr>
          <w:rFonts w:ascii="Lato" w:hAnsi="Lato"/>
          <w:color w:val="000000" w:themeColor="text1"/>
          <w:sz w:val="20"/>
          <w:szCs w:val="20"/>
        </w:rPr>
        <w:t xml:space="preserve"> </w:t>
      </w:r>
      <w:r w:rsidR="00F04BFA" w:rsidRPr="003027C5">
        <w:rPr>
          <w:rFonts w:ascii="Lato" w:hAnsi="Lato"/>
          <w:color w:val="000000" w:themeColor="text1"/>
          <w:sz w:val="20"/>
          <w:szCs w:val="20"/>
        </w:rPr>
        <w:t>should be scrutinized t</w:t>
      </w:r>
      <w:r w:rsidR="00C41AB7" w:rsidRPr="003027C5">
        <w:rPr>
          <w:rFonts w:ascii="Lato" w:hAnsi="Lato"/>
          <w:color w:val="000000" w:themeColor="text1"/>
          <w:sz w:val="20"/>
          <w:szCs w:val="20"/>
        </w:rPr>
        <w:t xml:space="preserve">hrough an </w:t>
      </w:r>
      <w:r w:rsidR="00F04BFA" w:rsidRPr="003027C5">
        <w:rPr>
          <w:rFonts w:ascii="Lato" w:hAnsi="Lato"/>
          <w:color w:val="000000" w:themeColor="text1"/>
          <w:sz w:val="20"/>
          <w:szCs w:val="20"/>
        </w:rPr>
        <w:t>e</w:t>
      </w:r>
      <w:r w:rsidR="00C41AB7" w:rsidRPr="003027C5">
        <w:rPr>
          <w:rFonts w:ascii="Lato" w:hAnsi="Lato"/>
          <w:color w:val="000000" w:themeColor="text1"/>
          <w:sz w:val="20"/>
          <w:szCs w:val="20"/>
        </w:rPr>
        <w:t xml:space="preserve">quity </w:t>
      </w:r>
      <w:r w:rsidRPr="003027C5">
        <w:rPr>
          <w:rFonts w:ascii="Lato" w:hAnsi="Lato"/>
          <w:color w:val="000000" w:themeColor="text1"/>
          <w:sz w:val="20"/>
          <w:szCs w:val="20"/>
        </w:rPr>
        <w:t>lens</w:t>
      </w:r>
      <w:r w:rsidR="00C41AB7" w:rsidRPr="003027C5">
        <w:rPr>
          <w:rFonts w:ascii="Lato" w:hAnsi="Lato"/>
          <w:color w:val="000000" w:themeColor="text1"/>
          <w:sz w:val="20"/>
          <w:szCs w:val="20"/>
        </w:rPr>
        <w:t xml:space="preserve"> </w:t>
      </w:r>
      <w:r w:rsidR="00F04BFA" w:rsidRPr="003027C5">
        <w:rPr>
          <w:rFonts w:ascii="Lato" w:hAnsi="Lato"/>
          <w:color w:val="000000" w:themeColor="text1"/>
          <w:sz w:val="20"/>
          <w:szCs w:val="20"/>
        </w:rPr>
        <w:t>t</w:t>
      </w:r>
      <w:r w:rsidR="00DC0B41" w:rsidRPr="003027C5">
        <w:rPr>
          <w:rFonts w:ascii="Lato" w:hAnsi="Lato"/>
          <w:color w:val="000000" w:themeColor="text1"/>
          <w:sz w:val="20"/>
          <w:szCs w:val="20"/>
        </w:rPr>
        <w:t xml:space="preserve">o </w:t>
      </w:r>
      <w:r w:rsidR="00C41AB7" w:rsidRPr="003027C5">
        <w:rPr>
          <w:rFonts w:ascii="Lato" w:hAnsi="Lato"/>
          <w:color w:val="000000" w:themeColor="text1"/>
          <w:sz w:val="20"/>
          <w:szCs w:val="20"/>
        </w:rPr>
        <w:t xml:space="preserve">identify opportunities for </w:t>
      </w:r>
      <w:r w:rsidR="00DC0B41" w:rsidRPr="003027C5">
        <w:rPr>
          <w:rFonts w:ascii="Lato" w:hAnsi="Lato"/>
          <w:color w:val="000000" w:themeColor="text1"/>
          <w:sz w:val="20"/>
          <w:szCs w:val="20"/>
        </w:rPr>
        <w:t>safely expanding</w:t>
      </w:r>
      <w:r w:rsidR="00C41AB7" w:rsidRPr="003027C5">
        <w:rPr>
          <w:rFonts w:ascii="Lato" w:hAnsi="Lato"/>
          <w:color w:val="000000" w:themeColor="text1"/>
          <w:sz w:val="20"/>
          <w:szCs w:val="20"/>
        </w:rPr>
        <w:t xml:space="preserve"> equitable access to</w:t>
      </w:r>
      <w:r w:rsidR="00DC0B41" w:rsidRPr="003027C5">
        <w:rPr>
          <w:rFonts w:ascii="Lato" w:hAnsi="Lato"/>
          <w:color w:val="000000" w:themeColor="text1"/>
          <w:sz w:val="20"/>
          <w:szCs w:val="20"/>
        </w:rPr>
        <w:t xml:space="preserve"> </w:t>
      </w:r>
      <w:r w:rsidR="00C41AB7" w:rsidRPr="003027C5">
        <w:rPr>
          <w:rFonts w:ascii="Lato" w:hAnsi="Lato"/>
          <w:color w:val="000000" w:themeColor="text1"/>
          <w:sz w:val="20"/>
          <w:szCs w:val="20"/>
        </w:rPr>
        <w:t>mortgage credit</w:t>
      </w:r>
      <w:r w:rsidR="00F04BFA" w:rsidRPr="003027C5">
        <w:rPr>
          <w:rFonts w:ascii="Lato" w:hAnsi="Lato"/>
          <w:color w:val="000000" w:themeColor="text1"/>
          <w:sz w:val="20"/>
          <w:szCs w:val="20"/>
        </w:rPr>
        <w:t>, and t</w:t>
      </w:r>
      <w:r w:rsidR="00CB2EFE" w:rsidRPr="003027C5">
        <w:rPr>
          <w:rFonts w:ascii="Lato" w:hAnsi="Lato"/>
          <w:color w:val="000000" w:themeColor="text1"/>
          <w:sz w:val="20"/>
          <w:szCs w:val="20"/>
        </w:rPr>
        <w:t>he mostly untapped, deep pool of rich data on Enterprise mortgage denials</w:t>
      </w:r>
      <w:r w:rsidR="00F04BFA" w:rsidRPr="003027C5">
        <w:rPr>
          <w:rFonts w:ascii="Lato" w:hAnsi="Lato"/>
          <w:color w:val="000000" w:themeColor="text1"/>
          <w:sz w:val="20"/>
          <w:szCs w:val="20"/>
        </w:rPr>
        <w:t>,</w:t>
      </w:r>
      <w:r w:rsidR="00CB2EFE" w:rsidRPr="003027C5">
        <w:rPr>
          <w:rFonts w:ascii="Lato" w:hAnsi="Lato"/>
          <w:color w:val="000000" w:themeColor="text1"/>
          <w:sz w:val="20"/>
          <w:szCs w:val="20"/>
        </w:rPr>
        <w:t xml:space="preserve"> which also reflect racial disparities, need to be mined for equity-improving insights</w:t>
      </w:r>
      <w:r w:rsidR="00F04BFA" w:rsidRPr="003027C5">
        <w:rPr>
          <w:rFonts w:ascii="Lato" w:hAnsi="Lato"/>
          <w:color w:val="000000" w:themeColor="text1"/>
          <w:sz w:val="20"/>
          <w:szCs w:val="20"/>
        </w:rPr>
        <w:t>.</w:t>
      </w:r>
    </w:p>
    <w:p w14:paraId="13E61394" w14:textId="00B9C21F" w:rsidR="009A5558" w:rsidRPr="003027C5" w:rsidRDefault="00786902" w:rsidP="0055018C">
      <w:pPr>
        <w:spacing w:line="240" w:lineRule="auto"/>
        <w:rPr>
          <w:rFonts w:ascii="Lato" w:hAnsi="Lato" w:cs="Times New Roman"/>
          <w:b/>
          <w:bCs/>
          <w:sz w:val="20"/>
          <w:szCs w:val="20"/>
        </w:rPr>
      </w:pPr>
      <w:r w:rsidRPr="003027C5">
        <w:rPr>
          <w:rFonts w:ascii="Lato" w:hAnsi="Lato" w:cs="Times New Roman"/>
          <w:b/>
          <w:i/>
          <w:sz w:val="20"/>
          <w:szCs w:val="20"/>
        </w:rPr>
        <w:t>(</w:t>
      </w:r>
      <w:r w:rsidR="00BE32DA" w:rsidRPr="003027C5">
        <w:rPr>
          <w:rFonts w:ascii="Lato" w:hAnsi="Lato" w:cs="Times New Roman"/>
          <w:b/>
          <w:i/>
          <w:sz w:val="20"/>
          <w:szCs w:val="20"/>
        </w:rPr>
        <w:t>b</w:t>
      </w:r>
      <w:r w:rsidR="009A5558" w:rsidRPr="003027C5">
        <w:rPr>
          <w:rFonts w:ascii="Lato" w:hAnsi="Lato" w:cs="Times New Roman"/>
          <w:b/>
          <w:color w:val="000000" w:themeColor="text1"/>
          <w:sz w:val="20"/>
          <w:szCs w:val="20"/>
        </w:rPr>
        <w:t xml:space="preserve">) </w:t>
      </w:r>
      <w:r w:rsidR="007E4F60" w:rsidRPr="00F4296E">
        <w:rPr>
          <w:rFonts w:ascii="Lato" w:hAnsi="Lato" w:cs="Times New Roman"/>
          <w:b/>
          <w:i/>
          <w:iCs/>
          <w:color w:val="000000" w:themeColor="text1"/>
          <w:sz w:val="20"/>
          <w:szCs w:val="20"/>
          <w:u w:val="single"/>
        </w:rPr>
        <w:t>Facilitate Special Purpose Credit Programs</w:t>
      </w:r>
      <w:r w:rsidR="00BE32DA" w:rsidRPr="00F4296E">
        <w:rPr>
          <w:rFonts w:ascii="Lato" w:hAnsi="Lato" w:cs="Times New Roman"/>
          <w:b/>
          <w:i/>
          <w:iCs/>
          <w:color w:val="000000" w:themeColor="text1"/>
          <w:sz w:val="20"/>
          <w:szCs w:val="20"/>
          <w:u w:val="single"/>
        </w:rPr>
        <w:t xml:space="preserve"> (SPCPs)</w:t>
      </w:r>
      <w:r w:rsidR="00CE7891" w:rsidRPr="00F4296E">
        <w:rPr>
          <w:rFonts w:ascii="Lato" w:hAnsi="Lato" w:cs="Times New Roman"/>
          <w:i/>
          <w:iCs/>
          <w:color w:val="000000" w:themeColor="text1"/>
          <w:sz w:val="20"/>
          <w:szCs w:val="20"/>
        </w:rPr>
        <w:t>.</w:t>
      </w:r>
      <w:r w:rsidR="00CE7891" w:rsidRPr="003027C5">
        <w:rPr>
          <w:rFonts w:ascii="Lato" w:hAnsi="Lato" w:cs="Times New Roman"/>
          <w:color w:val="000000" w:themeColor="text1"/>
          <w:sz w:val="20"/>
          <w:szCs w:val="20"/>
        </w:rPr>
        <w:t xml:space="preserve"> </w:t>
      </w:r>
      <w:r w:rsidR="009A5558" w:rsidRPr="003027C5">
        <w:rPr>
          <w:rFonts w:ascii="Lato" w:hAnsi="Lato" w:cs="Times New Roman"/>
          <w:color w:val="000000" w:themeColor="text1"/>
          <w:sz w:val="20"/>
          <w:szCs w:val="20"/>
        </w:rPr>
        <w:t>SPCPs</w:t>
      </w:r>
      <w:r w:rsidR="009A5558" w:rsidRPr="003027C5">
        <w:rPr>
          <w:rFonts w:ascii="Lato" w:hAnsi="Lato" w:cs="Times New Roman"/>
          <w:sz w:val="20"/>
          <w:szCs w:val="20"/>
        </w:rPr>
        <w:t xml:space="preserve"> </w:t>
      </w:r>
      <w:r w:rsidR="002937DF" w:rsidRPr="003027C5">
        <w:rPr>
          <w:rFonts w:ascii="Lato" w:hAnsi="Lato" w:cs="Times New Roman"/>
          <w:sz w:val="20"/>
          <w:szCs w:val="20"/>
        </w:rPr>
        <w:t xml:space="preserve">could </w:t>
      </w:r>
      <w:r w:rsidR="00BE32DA" w:rsidRPr="003027C5">
        <w:rPr>
          <w:rFonts w:ascii="Lato" w:hAnsi="Lato" w:cs="Times New Roman"/>
          <w:sz w:val="20"/>
          <w:szCs w:val="20"/>
        </w:rPr>
        <w:t>advance mortgage equity,</w:t>
      </w:r>
      <w:r w:rsidR="002C5481" w:rsidRPr="002C5481">
        <w:rPr>
          <w:rStyle w:val="FootnoteReference"/>
          <w:rFonts w:ascii="Lato" w:hAnsi="Lato" w:cs="Times New Roman"/>
          <w:sz w:val="20"/>
          <w:szCs w:val="20"/>
        </w:rPr>
        <w:t xml:space="preserve"> </w:t>
      </w:r>
      <w:r w:rsidR="002C5481" w:rsidRPr="003027C5">
        <w:rPr>
          <w:rStyle w:val="FootnoteReference"/>
          <w:rFonts w:ascii="Lato" w:hAnsi="Lato" w:cs="Times New Roman"/>
          <w:sz w:val="20"/>
          <w:szCs w:val="20"/>
        </w:rPr>
        <w:footnoteReference w:id="16"/>
      </w:r>
      <w:r w:rsidR="00BE32DA" w:rsidRPr="003027C5">
        <w:rPr>
          <w:rFonts w:ascii="Lato" w:hAnsi="Lato" w:cs="Times New Roman"/>
          <w:sz w:val="20"/>
          <w:szCs w:val="20"/>
        </w:rPr>
        <w:t xml:space="preserve"> and the Enterprises can pave the way for lenders to offer them</w:t>
      </w:r>
      <w:r w:rsidR="009A5558" w:rsidRPr="003027C5">
        <w:rPr>
          <w:rFonts w:ascii="Lato" w:hAnsi="Lato" w:cs="Times New Roman"/>
          <w:sz w:val="20"/>
          <w:szCs w:val="20"/>
        </w:rPr>
        <w:t>.</w:t>
      </w:r>
      <w:r w:rsidR="00DB3AED" w:rsidRPr="003027C5">
        <w:rPr>
          <w:rFonts w:ascii="Lato" w:hAnsi="Lato" w:cs="Times New Roman"/>
          <w:sz w:val="20"/>
          <w:szCs w:val="20"/>
        </w:rPr>
        <w:t xml:space="preserve"> T</w:t>
      </w:r>
      <w:r w:rsidR="009A5558" w:rsidRPr="003027C5">
        <w:rPr>
          <w:rFonts w:ascii="Lato" w:hAnsi="Lato" w:cs="Times New Roman"/>
          <w:sz w:val="20"/>
          <w:szCs w:val="20"/>
        </w:rPr>
        <w:t>he Consumer Financial Protection Bureau</w:t>
      </w:r>
      <w:r w:rsidR="00DB3AED" w:rsidRPr="003027C5">
        <w:rPr>
          <w:rFonts w:ascii="Lato" w:hAnsi="Lato" w:cs="Times New Roman"/>
          <w:sz w:val="20"/>
          <w:szCs w:val="20"/>
        </w:rPr>
        <w:t>’s</w:t>
      </w:r>
      <w:r w:rsidR="009A5558" w:rsidRPr="003027C5">
        <w:rPr>
          <w:rFonts w:ascii="Lato" w:hAnsi="Lato" w:cs="Times New Roman"/>
          <w:sz w:val="20"/>
          <w:szCs w:val="20"/>
        </w:rPr>
        <w:t xml:space="preserve"> </w:t>
      </w:r>
      <w:r w:rsidR="00F4296E">
        <w:rPr>
          <w:rFonts w:ascii="Lato" w:hAnsi="Lato" w:cs="Times New Roman"/>
          <w:sz w:val="20"/>
          <w:szCs w:val="20"/>
        </w:rPr>
        <w:t xml:space="preserve">(CFPB) </w:t>
      </w:r>
      <w:r w:rsidR="00DB3AED" w:rsidRPr="003027C5">
        <w:rPr>
          <w:rFonts w:ascii="Lato" w:hAnsi="Lato" w:cs="Times New Roman"/>
          <w:sz w:val="20"/>
          <w:szCs w:val="20"/>
        </w:rPr>
        <w:t>2020 A</w:t>
      </w:r>
      <w:r w:rsidR="009A5558" w:rsidRPr="003027C5">
        <w:rPr>
          <w:rFonts w:ascii="Lato" w:hAnsi="Lato" w:cs="Times New Roman"/>
          <w:sz w:val="20"/>
          <w:szCs w:val="20"/>
        </w:rPr>
        <w:t xml:space="preserve">dvisory Opinion </w:t>
      </w:r>
      <w:r w:rsidR="00BA1D54" w:rsidRPr="003027C5">
        <w:rPr>
          <w:rFonts w:ascii="Lato" w:hAnsi="Lato" w:cs="Times New Roman"/>
          <w:sz w:val="20"/>
          <w:szCs w:val="20"/>
        </w:rPr>
        <w:t>clarifies</w:t>
      </w:r>
      <w:r w:rsidR="00EB1983">
        <w:rPr>
          <w:rFonts w:ascii="Lato" w:hAnsi="Lato" w:cs="Times New Roman"/>
          <w:sz w:val="20"/>
          <w:szCs w:val="20"/>
        </w:rPr>
        <w:t xml:space="preserve"> the</w:t>
      </w:r>
      <w:r w:rsidR="00AA5F51" w:rsidRPr="003027C5">
        <w:rPr>
          <w:rFonts w:ascii="Lato" w:hAnsi="Lato" w:cs="Times New Roman"/>
          <w:sz w:val="20"/>
          <w:szCs w:val="20"/>
        </w:rPr>
        <w:t xml:space="preserve"> conditions under which</w:t>
      </w:r>
      <w:r w:rsidR="009A5558" w:rsidRPr="003027C5">
        <w:rPr>
          <w:rFonts w:ascii="Lato" w:hAnsi="Lato" w:cs="Times New Roman"/>
          <w:sz w:val="20"/>
          <w:szCs w:val="20"/>
        </w:rPr>
        <w:t xml:space="preserve"> for-profit lenders can create ECOA-compliant SPCPs</w:t>
      </w:r>
      <w:r w:rsidR="00BA1D54" w:rsidRPr="003027C5">
        <w:rPr>
          <w:rFonts w:ascii="Lato" w:hAnsi="Lato" w:cs="Times New Roman"/>
          <w:sz w:val="20"/>
          <w:szCs w:val="20"/>
        </w:rPr>
        <w:t>. These</w:t>
      </w:r>
      <w:r w:rsidR="00F4296E">
        <w:rPr>
          <w:rFonts w:ascii="Lato" w:hAnsi="Lato" w:cs="Times New Roman"/>
          <w:sz w:val="20"/>
          <w:szCs w:val="20"/>
        </w:rPr>
        <w:t xml:space="preserve"> SPCPs </w:t>
      </w:r>
      <w:r w:rsidR="009A5558" w:rsidRPr="003027C5">
        <w:rPr>
          <w:rFonts w:ascii="Lato" w:hAnsi="Lato" w:cs="Times New Roman"/>
          <w:sz w:val="20"/>
          <w:szCs w:val="20"/>
        </w:rPr>
        <w:t xml:space="preserve">could, for example, </w:t>
      </w:r>
      <w:r w:rsidR="00AA5F51" w:rsidRPr="00F4296E">
        <w:rPr>
          <w:rFonts w:ascii="Lato" w:hAnsi="Lato" w:cs="Times New Roman"/>
          <w:sz w:val="20"/>
          <w:szCs w:val="20"/>
        </w:rPr>
        <w:t>provide</w:t>
      </w:r>
      <w:r w:rsidR="009A5558" w:rsidRPr="003027C5">
        <w:rPr>
          <w:rFonts w:ascii="Lato" w:hAnsi="Lato" w:cs="Times New Roman"/>
          <w:sz w:val="20"/>
          <w:szCs w:val="20"/>
        </w:rPr>
        <w:t xml:space="preserve"> </w:t>
      </w:r>
      <w:r w:rsidR="009A5558" w:rsidRPr="003027C5">
        <w:rPr>
          <w:rFonts w:ascii="Lato" w:eastAsia="Times New Roman" w:hAnsi="Lato" w:cs="Times New Roman"/>
          <w:color w:val="0E0E0E"/>
          <w:sz w:val="20"/>
          <w:szCs w:val="20"/>
        </w:rPr>
        <w:t>lower down payment</w:t>
      </w:r>
      <w:r w:rsidR="00DB3AED" w:rsidRPr="003027C5">
        <w:rPr>
          <w:rFonts w:ascii="Lato" w:eastAsia="Times New Roman" w:hAnsi="Lato" w:cs="Times New Roman"/>
          <w:color w:val="0E0E0E"/>
          <w:sz w:val="20"/>
          <w:szCs w:val="20"/>
        </w:rPr>
        <w:t xml:space="preserve"> loans</w:t>
      </w:r>
      <w:r w:rsidR="009A5558" w:rsidRPr="003027C5">
        <w:rPr>
          <w:rFonts w:ascii="Lato" w:eastAsia="Times New Roman" w:hAnsi="Lato" w:cs="Times New Roman"/>
          <w:color w:val="0E0E0E"/>
          <w:sz w:val="20"/>
          <w:szCs w:val="20"/>
        </w:rPr>
        <w:t xml:space="preserve"> for </w:t>
      </w:r>
      <w:r w:rsidR="00304A6C">
        <w:rPr>
          <w:rFonts w:ascii="Lato" w:eastAsia="Times New Roman" w:hAnsi="Lato" w:cs="Times New Roman"/>
          <w:color w:val="0E0E0E"/>
          <w:sz w:val="20"/>
          <w:szCs w:val="20"/>
        </w:rPr>
        <w:t xml:space="preserve">loan applicants of color, </w:t>
      </w:r>
      <w:r w:rsidR="009A5558" w:rsidRPr="003027C5">
        <w:rPr>
          <w:rFonts w:ascii="Lato" w:eastAsia="Times New Roman" w:hAnsi="Lato" w:cs="Times New Roman"/>
          <w:color w:val="0E0E0E"/>
          <w:sz w:val="20"/>
          <w:szCs w:val="20"/>
        </w:rPr>
        <w:t xml:space="preserve">or </w:t>
      </w:r>
      <w:r w:rsidR="00AA5F51" w:rsidRPr="003027C5">
        <w:rPr>
          <w:rFonts w:ascii="Lato" w:eastAsia="Times New Roman" w:hAnsi="Lato" w:cs="Times New Roman"/>
          <w:color w:val="0E0E0E"/>
          <w:sz w:val="20"/>
          <w:szCs w:val="20"/>
        </w:rPr>
        <w:t>reduced</w:t>
      </w:r>
      <w:r w:rsidR="009A5558" w:rsidRPr="003027C5">
        <w:rPr>
          <w:rFonts w:ascii="Lato" w:eastAsia="Times New Roman" w:hAnsi="Lato" w:cs="Times New Roman"/>
          <w:color w:val="0E0E0E"/>
          <w:sz w:val="20"/>
          <w:szCs w:val="20"/>
        </w:rPr>
        <w:t xml:space="preserve"> rates for applicants in majority-minority neighborhoods.</w:t>
      </w:r>
      <w:r w:rsidR="009A5558" w:rsidRPr="003027C5">
        <w:rPr>
          <w:rStyle w:val="FootnoteReference"/>
          <w:rFonts w:ascii="Lato" w:eastAsia="Times New Roman" w:hAnsi="Lato" w:cs="Times New Roman"/>
          <w:color w:val="0E0E0E"/>
          <w:sz w:val="20"/>
          <w:szCs w:val="20"/>
        </w:rPr>
        <w:footnoteReference w:id="17"/>
      </w:r>
      <w:r w:rsidR="002C5481" w:rsidRPr="002C5481">
        <w:rPr>
          <w:rFonts w:ascii="Lato" w:eastAsia="Times New Roman" w:hAnsi="Lato" w:cs="Times New Roman"/>
          <w:color w:val="0E0E0E"/>
          <w:sz w:val="20"/>
          <w:szCs w:val="20"/>
          <w:vertAlign w:val="superscript"/>
        </w:rPr>
        <w:t>,</w:t>
      </w:r>
      <w:r w:rsidR="009A5558" w:rsidRPr="003027C5">
        <w:rPr>
          <w:rStyle w:val="FootnoteReference"/>
          <w:rFonts w:ascii="Lato" w:eastAsia="Times New Roman" w:hAnsi="Lato" w:cs="Times New Roman"/>
          <w:color w:val="0E0E0E"/>
          <w:sz w:val="20"/>
          <w:szCs w:val="20"/>
        </w:rPr>
        <w:footnoteReference w:id="18"/>
      </w:r>
      <w:r w:rsidR="009A5558" w:rsidRPr="003027C5">
        <w:rPr>
          <w:rFonts w:ascii="Lato" w:eastAsia="Times New Roman" w:hAnsi="Lato" w:cs="Times New Roman"/>
          <w:color w:val="0E0E0E"/>
          <w:sz w:val="20"/>
          <w:szCs w:val="20"/>
        </w:rPr>
        <w:t xml:space="preserve"> </w:t>
      </w:r>
      <w:r w:rsidR="009A5558" w:rsidRPr="003027C5">
        <w:rPr>
          <w:rFonts w:ascii="Lato" w:hAnsi="Lato" w:cs="Times New Roman"/>
          <w:sz w:val="20"/>
          <w:szCs w:val="20"/>
        </w:rPr>
        <w:t>FHFA and the Enterprises</w:t>
      </w:r>
      <w:r w:rsidR="003B30BA" w:rsidRPr="003027C5">
        <w:rPr>
          <w:rFonts w:ascii="Lato" w:hAnsi="Lato" w:cs="Times New Roman"/>
          <w:sz w:val="20"/>
          <w:szCs w:val="20"/>
        </w:rPr>
        <w:t xml:space="preserve"> could convene regulators, </w:t>
      </w:r>
      <w:r w:rsidR="009A5558" w:rsidRPr="003027C5">
        <w:rPr>
          <w:rFonts w:ascii="Lato" w:hAnsi="Lato" w:cs="Times New Roman"/>
          <w:sz w:val="20"/>
          <w:szCs w:val="20"/>
        </w:rPr>
        <w:t>seller</w:t>
      </w:r>
      <w:r w:rsidR="00AA5F51" w:rsidRPr="003027C5">
        <w:rPr>
          <w:rFonts w:ascii="Lato" w:hAnsi="Lato" w:cs="Times New Roman"/>
          <w:sz w:val="20"/>
          <w:szCs w:val="20"/>
        </w:rPr>
        <w:t>/</w:t>
      </w:r>
      <w:r w:rsidR="009A5558" w:rsidRPr="003027C5">
        <w:rPr>
          <w:rFonts w:ascii="Lato" w:hAnsi="Lato" w:cs="Times New Roman"/>
          <w:sz w:val="20"/>
          <w:szCs w:val="20"/>
        </w:rPr>
        <w:t xml:space="preserve">servicers and </w:t>
      </w:r>
      <w:r w:rsidR="00AA5F51" w:rsidRPr="003027C5">
        <w:rPr>
          <w:rFonts w:ascii="Lato" w:hAnsi="Lato" w:cs="Times New Roman"/>
          <w:sz w:val="20"/>
          <w:szCs w:val="20"/>
        </w:rPr>
        <w:t xml:space="preserve">a host of </w:t>
      </w:r>
      <w:r w:rsidR="009A5558" w:rsidRPr="003027C5">
        <w:rPr>
          <w:rFonts w:ascii="Lato" w:hAnsi="Lato" w:cs="Times New Roman"/>
          <w:sz w:val="20"/>
          <w:szCs w:val="20"/>
        </w:rPr>
        <w:t>other stakeholders</w:t>
      </w:r>
      <w:r w:rsidR="003B30BA" w:rsidRPr="003027C5">
        <w:rPr>
          <w:rFonts w:ascii="Lato" w:hAnsi="Lato" w:cs="Times New Roman"/>
          <w:sz w:val="20"/>
          <w:szCs w:val="20"/>
        </w:rPr>
        <w:t xml:space="preserve"> </w:t>
      </w:r>
      <w:r w:rsidR="009A5558" w:rsidRPr="003027C5">
        <w:rPr>
          <w:rFonts w:ascii="Lato" w:hAnsi="Lato" w:cs="Times New Roman"/>
          <w:sz w:val="20"/>
          <w:szCs w:val="20"/>
        </w:rPr>
        <w:t xml:space="preserve">for the purpose of translating </w:t>
      </w:r>
      <w:r w:rsidR="009A5558" w:rsidRPr="003027C5">
        <w:rPr>
          <w:rFonts w:ascii="Lato" w:hAnsi="Lato" w:cs="Times New Roman"/>
          <w:sz w:val="20"/>
          <w:szCs w:val="20"/>
        </w:rPr>
        <w:lastRenderedPageBreak/>
        <w:t xml:space="preserve">the Bureau’s guidance into SPCP design template(s) for loan products that would be eligible for purchase by the Enterprises.  </w:t>
      </w:r>
    </w:p>
    <w:p w14:paraId="5F1D96B3" w14:textId="7158BE34" w:rsidR="00BE32DA" w:rsidRPr="00EB1983" w:rsidRDefault="00BE32DA" w:rsidP="0055018C">
      <w:pPr>
        <w:spacing w:line="240" w:lineRule="auto"/>
        <w:rPr>
          <w:rFonts w:ascii="Lato" w:hAnsi="Lato"/>
          <w:sz w:val="20"/>
          <w:szCs w:val="20"/>
        </w:rPr>
      </w:pPr>
      <w:r w:rsidRPr="003027C5">
        <w:rPr>
          <w:rFonts w:ascii="Lato" w:hAnsi="Lato" w:cs="Times New Roman"/>
          <w:b/>
          <w:i/>
          <w:sz w:val="20"/>
          <w:szCs w:val="20"/>
        </w:rPr>
        <w:t>(</w:t>
      </w:r>
      <w:r w:rsidR="001150AC" w:rsidRPr="003027C5">
        <w:rPr>
          <w:rFonts w:ascii="Lato" w:hAnsi="Lato" w:cs="Times New Roman"/>
          <w:b/>
          <w:i/>
          <w:sz w:val="20"/>
          <w:szCs w:val="20"/>
        </w:rPr>
        <w:t>c</w:t>
      </w:r>
      <w:r w:rsidRPr="003027C5">
        <w:rPr>
          <w:rFonts w:ascii="Lato" w:hAnsi="Lato" w:cs="Times New Roman"/>
          <w:b/>
          <w:i/>
          <w:sz w:val="20"/>
          <w:szCs w:val="20"/>
        </w:rPr>
        <w:t xml:space="preserve">) </w:t>
      </w:r>
      <w:r w:rsidRPr="003027C5">
        <w:rPr>
          <w:rFonts w:ascii="Lato" w:hAnsi="Lato" w:cs="Times New Roman"/>
          <w:b/>
          <w:i/>
          <w:sz w:val="20"/>
          <w:szCs w:val="20"/>
          <w:u w:val="single"/>
        </w:rPr>
        <w:t xml:space="preserve">Utilize the Enterprises’ Retained Portfolios and allow them to pilot </w:t>
      </w:r>
      <w:r w:rsidR="006E1AC1" w:rsidRPr="003027C5">
        <w:rPr>
          <w:rFonts w:ascii="Lato" w:hAnsi="Lato" w:cs="Times New Roman"/>
          <w:b/>
          <w:i/>
          <w:sz w:val="20"/>
          <w:szCs w:val="20"/>
          <w:u w:val="single"/>
        </w:rPr>
        <w:t>programs</w:t>
      </w:r>
      <w:r w:rsidRPr="003027C5">
        <w:rPr>
          <w:rFonts w:ascii="Lato" w:hAnsi="Lato" w:cs="Times New Roman"/>
          <w:b/>
          <w:i/>
          <w:sz w:val="20"/>
          <w:szCs w:val="20"/>
          <w:u w:val="single"/>
        </w:rPr>
        <w:t xml:space="preserve"> for equity purposes</w:t>
      </w:r>
      <w:r w:rsidRPr="003027C5">
        <w:rPr>
          <w:rFonts w:ascii="Lato" w:hAnsi="Lato" w:cs="Times New Roman"/>
          <w:b/>
          <w:bCs/>
          <w:sz w:val="20"/>
          <w:szCs w:val="20"/>
        </w:rPr>
        <w:t xml:space="preserve">. </w:t>
      </w:r>
      <w:r w:rsidR="006E1AC1" w:rsidRPr="003027C5">
        <w:rPr>
          <w:rFonts w:ascii="Lato" w:hAnsi="Lato" w:cs="Times New Roman"/>
          <w:b/>
          <w:bCs/>
          <w:sz w:val="20"/>
          <w:szCs w:val="20"/>
        </w:rPr>
        <w:t xml:space="preserve"> </w:t>
      </w:r>
      <w:r w:rsidR="16043CCD" w:rsidRPr="003027C5">
        <w:rPr>
          <w:rFonts w:ascii="Lato" w:hAnsi="Lato" w:cs="Times New Roman"/>
          <w:sz w:val="20"/>
          <w:szCs w:val="20"/>
        </w:rPr>
        <w:t xml:space="preserve">Many loans </w:t>
      </w:r>
      <w:r w:rsidR="006E1AC1" w:rsidRPr="003027C5">
        <w:rPr>
          <w:rFonts w:ascii="Lato" w:hAnsi="Lato" w:cs="Times New Roman"/>
          <w:sz w:val="20"/>
          <w:szCs w:val="20"/>
        </w:rPr>
        <w:t xml:space="preserve">that </w:t>
      </w:r>
      <w:r w:rsidR="16043CCD" w:rsidRPr="003027C5">
        <w:rPr>
          <w:rFonts w:ascii="Lato" w:hAnsi="Lato" w:cs="Times New Roman"/>
          <w:sz w:val="20"/>
          <w:szCs w:val="20"/>
        </w:rPr>
        <w:t>the Enterprises could fund in carrying out their EHFPs are likely to be nonconforming and ineligible for sale in the Too Be Announced (TBA) market. It makes sense to hold these loans on the Enterprises’ balance sheet</w:t>
      </w:r>
      <w:r w:rsidR="006E1AC1" w:rsidRPr="003027C5">
        <w:rPr>
          <w:rFonts w:ascii="Lato" w:hAnsi="Lato" w:cs="Times New Roman"/>
          <w:sz w:val="20"/>
          <w:szCs w:val="20"/>
        </w:rPr>
        <w:t>s</w:t>
      </w:r>
      <w:r w:rsidR="16043CCD" w:rsidRPr="003027C5">
        <w:rPr>
          <w:rFonts w:ascii="Lato" w:hAnsi="Lato" w:cs="Times New Roman"/>
          <w:sz w:val="20"/>
          <w:szCs w:val="20"/>
        </w:rPr>
        <w:t xml:space="preserve">, especially as they are being pilot tested. There is sufficient room under the current Preferred Stock Purchase Agreements (PSPAs) </w:t>
      </w:r>
      <w:r w:rsidR="16043CCD" w:rsidRPr="00304A6C">
        <w:rPr>
          <w:rFonts w:ascii="Lato" w:hAnsi="Lato" w:cs="Times New Roman"/>
          <w:sz w:val="20"/>
          <w:szCs w:val="20"/>
        </w:rPr>
        <w:t>cap</w:t>
      </w:r>
      <w:r w:rsidR="16043CCD" w:rsidRPr="003027C5">
        <w:rPr>
          <w:rFonts w:ascii="Lato" w:hAnsi="Lato" w:cs="Times New Roman"/>
          <w:sz w:val="20"/>
          <w:szCs w:val="20"/>
        </w:rPr>
        <w:t xml:space="preserve"> on each Enterprises’ retained mortgage portfolios ($250 billion) to accommodate several billion dollars of nonconforming equitable finance loans (as of Nov. 2020, Fannie Mae’s mortgage portfolio was $163 billion, and Freddie Mac’s was $193 billion).</w:t>
      </w:r>
      <w:r w:rsidRPr="003027C5">
        <w:rPr>
          <w:rStyle w:val="FootnoteReference"/>
          <w:rFonts w:ascii="Lato" w:hAnsi="Lato" w:cs="Times New Roman"/>
          <w:sz w:val="20"/>
          <w:szCs w:val="20"/>
        </w:rPr>
        <w:footnoteReference w:id="19"/>
      </w:r>
      <w:r w:rsidR="16043CCD" w:rsidRPr="003027C5">
        <w:rPr>
          <w:rFonts w:ascii="Lato" w:hAnsi="Lato" w:cs="Times New Roman"/>
          <w:sz w:val="20"/>
          <w:szCs w:val="20"/>
        </w:rPr>
        <w:t xml:space="preserve"> However, as the Enterprises launch their respective EHFPs, FHFA and the Treasury Department might want to modify the terms of the PSPAs to specifically allow equity-related mortgages purchased by the Enterprises, including from SPCPs, to be retained on their balance sheets. Prohibitions on piloting and portfolio holdings should be lifted for equity-enhancing programs. We recommend that such exemptions be conditioned on numeric goals, reporting and accountability against those goals, strong regulator</w:t>
      </w:r>
      <w:r w:rsidR="006E1AC1" w:rsidRPr="003027C5">
        <w:rPr>
          <w:rFonts w:ascii="Lato" w:hAnsi="Lato" w:cs="Times New Roman"/>
          <w:sz w:val="20"/>
          <w:szCs w:val="20"/>
        </w:rPr>
        <w:t>y</w:t>
      </w:r>
      <w:r w:rsidR="16043CCD" w:rsidRPr="003027C5">
        <w:rPr>
          <w:rFonts w:ascii="Lato" w:hAnsi="Lato" w:cs="Times New Roman"/>
          <w:sz w:val="20"/>
          <w:szCs w:val="20"/>
        </w:rPr>
        <w:t xml:space="preserve"> oversight, and public visibility. </w:t>
      </w:r>
    </w:p>
    <w:p w14:paraId="0685D68C" w14:textId="280ED1E3" w:rsidR="00F8383D" w:rsidRPr="00304A6C" w:rsidRDefault="00BE32DA" w:rsidP="0055018C">
      <w:pPr>
        <w:spacing w:line="240" w:lineRule="auto"/>
        <w:rPr>
          <w:rFonts w:ascii="Lato" w:hAnsi="Lato" w:cs="Times New Roman"/>
          <w:sz w:val="20"/>
          <w:szCs w:val="20"/>
        </w:rPr>
      </w:pPr>
      <w:r w:rsidRPr="00304A6C">
        <w:rPr>
          <w:rFonts w:ascii="Lato" w:hAnsi="Lato" w:cs="Times New Roman"/>
          <w:b/>
          <w:bCs/>
          <w:i/>
          <w:sz w:val="20"/>
          <w:szCs w:val="20"/>
          <w:shd w:val="clear" w:color="auto" w:fill="FFFFFF"/>
        </w:rPr>
        <w:t>(</w:t>
      </w:r>
      <w:r w:rsidR="001150AC" w:rsidRPr="00304A6C">
        <w:rPr>
          <w:rFonts w:ascii="Lato" w:hAnsi="Lato" w:cs="Times New Roman"/>
          <w:b/>
          <w:bCs/>
          <w:i/>
          <w:sz w:val="20"/>
          <w:szCs w:val="20"/>
          <w:shd w:val="clear" w:color="auto" w:fill="FFFFFF"/>
        </w:rPr>
        <w:t>d</w:t>
      </w:r>
      <w:r w:rsidRPr="00304A6C">
        <w:rPr>
          <w:rFonts w:ascii="Lato" w:hAnsi="Lato" w:cs="Times New Roman"/>
          <w:b/>
          <w:bCs/>
          <w:i/>
          <w:sz w:val="20"/>
          <w:szCs w:val="20"/>
          <w:shd w:val="clear" w:color="auto" w:fill="FFFFFF"/>
        </w:rPr>
        <w:t>)</w:t>
      </w:r>
      <w:r w:rsidRPr="00304A6C">
        <w:rPr>
          <w:rFonts w:ascii="Lato" w:hAnsi="Lato" w:cs="Times New Roman"/>
          <w:b/>
          <w:bCs/>
          <w:i/>
          <w:sz w:val="20"/>
          <w:szCs w:val="20"/>
          <w:u w:val="single"/>
          <w:shd w:val="clear" w:color="auto" w:fill="FFFFFF"/>
        </w:rPr>
        <w:t xml:space="preserve"> Revisit Loan-Level Price Adjustment</w:t>
      </w:r>
      <w:r w:rsidR="006E1AC1" w:rsidRPr="00304A6C">
        <w:rPr>
          <w:rFonts w:ascii="Lato" w:hAnsi="Lato" w:cs="Times New Roman"/>
          <w:b/>
          <w:bCs/>
          <w:i/>
          <w:sz w:val="20"/>
          <w:szCs w:val="20"/>
          <w:u w:val="single"/>
          <w:shd w:val="clear" w:color="auto" w:fill="FFFFFF"/>
        </w:rPr>
        <w:t>s</w:t>
      </w:r>
      <w:r w:rsidRPr="00304A6C">
        <w:rPr>
          <w:rFonts w:ascii="Lato" w:hAnsi="Lato" w:cs="Times New Roman"/>
          <w:b/>
          <w:bCs/>
          <w:i/>
          <w:sz w:val="20"/>
          <w:szCs w:val="20"/>
          <w:u w:val="single"/>
          <w:shd w:val="clear" w:color="auto" w:fill="FFFFFF"/>
        </w:rPr>
        <w:t xml:space="preserve"> (LLPAs)</w:t>
      </w:r>
      <w:r w:rsidRPr="00304A6C">
        <w:rPr>
          <w:rFonts w:ascii="Lato" w:hAnsi="Lato" w:cs="Times New Roman"/>
          <w:b/>
          <w:bCs/>
          <w:i/>
          <w:sz w:val="20"/>
          <w:szCs w:val="20"/>
          <w:shd w:val="clear" w:color="auto" w:fill="FFFFFF"/>
        </w:rPr>
        <w:t xml:space="preserve">. </w:t>
      </w:r>
      <w:r w:rsidR="00AC5957" w:rsidRPr="00304A6C">
        <w:rPr>
          <w:rFonts w:ascii="Lato" w:hAnsi="Lato" w:cs="Times New Roman"/>
          <w:sz w:val="20"/>
          <w:szCs w:val="20"/>
        </w:rPr>
        <w:t>For many in the housing finance system, there is a question of whether the</w:t>
      </w:r>
      <w:r w:rsidR="16043CCD" w:rsidRPr="00304A6C">
        <w:rPr>
          <w:rFonts w:ascii="Lato" w:hAnsi="Lato" w:cs="Times New Roman"/>
          <w:sz w:val="20"/>
          <w:szCs w:val="20"/>
        </w:rPr>
        <w:t xml:space="preserve"> Enterprises’ risk-based pricing policies</w:t>
      </w:r>
      <w:r w:rsidR="00AC5957" w:rsidRPr="00304A6C">
        <w:rPr>
          <w:rFonts w:ascii="Lato" w:hAnsi="Lato" w:cs="Times New Roman"/>
          <w:sz w:val="20"/>
          <w:szCs w:val="20"/>
        </w:rPr>
        <w:t>, including</w:t>
      </w:r>
      <w:r w:rsidR="16043CCD" w:rsidRPr="00304A6C">
        <w:rPr>
          <w:rFonts w:ascii="Lato" w:hAnsi="Lato" w:cs="Times New Roman"/>
          <w:sz w:val="20"/>
          <w:szCs w:val="20"/>
        </w:rPr>
        <w:t xml:space="preserve"> LLPAs</w:t>
      </w:r>
      <w:r w:rsidR="00AC5957" w:rsidRPr="00304A6C">
        <w:rPr>
          <w:rFonts w:ascii="Lato" w:hAnsi="Lato" w:cs="Times New Roman"/>
          <w:sz w:val="20"/>
          <w:szCs w:val="20"/>
        </w:rPr>
        <w:t>,</w:t>
      </w:r>
      <w:r w:rsidR="16043CCD" w:rsidRPr="00304A6C">
        <w:rPr>
          <w:rFonts w:ascii="Lato" w:hAnsi="Lato" w:cs="Times New Roman"/>
          <w:sz w:val="20"/>
          <w:szCs w:val="20"/>
        </w:rPr>
        <w:t xml:space="preserve"> place</w:t>
      </w:r>
      <w:r w:rsidR="00AC5957" w:rsidRPr="00304A6C">
        <w:rPr>
          <w:rFonts w:ascii="Lato" w:hAnsi="Lato" w:cs="Times New Roman"/>
          <w:sz w:val="20"/>
          <w:szCs w:val="20"/>
        </w:rPr>
        <w:t xml:space="preserve"> a </w:t>
      </w:r>
      <w:r w:rsidR="16043CCD" w:rsidRPr="00304A6C">
        <w:rPr>
          <w:rFonts w:ascii="Lato" w:hAnsi="Lato" w:cs="Times New Roman"/>
          <w:sz w:val="20"/>
          <w:szCs w:val="20"/>
        </w:rPr>
        <w:t xml:space="preserve">greater burden </w:t>
      </w:r>
      <w:r w:rsidR="16043CCD" w:rsidRPr="00304A6C">
        <w:rPr>
          <w:rFonts w:ascii="Lato" w:eastAsia="Times New Roman" w:hAnsi="Lato" w:cs="Times New Roman"/>
          <w:sz w:val="20"/>
          <w:szCs w:val="20"/>
        </w:rPr>
        <w:t>on low- and moderate-income borrowers</w:t>
      </w:r>
      <w:r w:rsidR="00AC5957" w:rsidRPr="00304A6C">
        <w:rPr>
          <w:rFonts w:ascii="Lato" w:eastAsia="Times New Roman" w:hAnsi="Lato" w:cs="Times New Roman"/>
          <w:sz w:val="20"/>
          <w:szCs w:val="20"/>
        </w:rPr>
        <w:t>, who</w:t>
      </w:r>
      <w:r w:rsidR="16043CCD" w:rsidRPr="00304A6C">
        <w:rPr>
          <w:rFonts w:ascii="Lato" w:eastAsia="Times New Roman" w:hAnsi="Lato" w:cs="Times New Roman"/>
          <w:sz w:val="20"/>
          <w:szCs w:val="20"/>
        </w:rPr>
        <w:t xml:space="preserve"> are </w:t>
      </w:r>
      <w:r w:rsidR="16043CCD" w:rsidRPr="00304A6C">
        <w:rPr>
          <w:rStyle w:val="Hyperlink"/>
          <w:rFonts w:ascii="Lato" w:eastAsia="Times New Roman" w:hAnsi="Lato" w:cs="Times New Roman"/>
          <w:color w:val="auto"/>
          <w:sz w:val="20"/>
          <w:szCs w:val="20"/>
          <w:u w:val="none"/>
        </w:rPr>
        <w:t xml:space="preserve">disproportionately </w:t>
      </w:r>
      <w:r w:rsidR="00304A6C">
        <w:rPr>
          <w:rStyle w:val="Hyperlink"/>
          <w:rFonts w:ascii="Lato" w:eastAsia="Times New Roman" w:hAnsi="Lato" w:cs="Times New Roman"/>
          <w:color w:val="auto"/>
          <w:sz w:val="20"/>
          <w:szCs w:val="20"/>
          <w:u w:val="none"/>
        </w:rPr>
        <w:t>people of color</w:t>
      </w:r>
      <w:r w:rsidR="16043CCD" w:rsidRPr="00304A6C">
        <w:rPr>
          <w:rFonts w:ascii="Lato" w:eastAsia="Times New Roman" w:hAnsi="Lato" w:cs="Times New Roman"/>
          <w:sz w:val="20"/>
          <w:szCs w:val="20"/>
        </w:rPr>
        <w:t xml:space="preserve">, </w:t>
      </w:r>
      <w:r w:rsidR="00AC5957" w:rsidRPr="00304A6C">
        <w:rPr>
          <w:rFonts w:ascii="Lato" w:hAnsi="Lato" w:cs="Times New Roman"/>
          <w:sz w:val="20"/>
          <w:szCs w:val="20"/>
        </w:rPr>
        <w:t xml:space="preserve">since </w:t>
      </w:r>
      <w:r w:rsidR="16043CCD" w:rsidRPr="00304A6C">
        <w:rPr>
          <w:rFonts w:ascii="Lato" w:eastAsia="Times New Roman" w:hAnsi="Lato" w:cs="Times New Roman"/>
          <w:sz w:val="20"/>
          <w:szCs w:val="20"/>
        </w:rPr>
        <w:t>LLPAs are higher for borrowers with lower credit scores and for</w:t>
      </w:r>
      <w:r w:rsidR="16043CCD" w:rsidRPr="00304A6C">
        <w:rPr>
          <w:rFonts w:ascii="Lato" w:hAnsi="Lato" w:cs="Times New Roman"/>
          <w:sz w:val="20"/>
          <w:szCs w:val="20"/>
        </w:rPr>
        <w:t xml:space="preserve"> </w:t>
      </w:r>
      <w:r w:rsidR="16043CCD" w:rsidRPr="00304A6C">
        <w:rPr>
          <w:rFonts w:ascii="Lato" w:eastAsia="Times New Roman" w:hAnsi="Lato" w:cs="Times New Roman"/>
          <w:sz w:val="20"/>
          <w:szCs w:val="20"/>
        </w:rPr>
        <w:t>low-down-payment loans (where mortgage insurance already adds costs)</w:t>
      </w:r>
      <w:r w:rsidR="00AC5957" w:rsidRPr="00304A6C">
        <w:rPr>
          <w:rFonts w:ascii="Lato" w:eastAsia="Times New Roman" w:hAnsi="Lato" w:cs="Times New Roman"/>
          <w:sz w:val="20"/>
          <w:szCs w:val="20"/>
        </w:rPr>
        <w:t>.</w:t>
      </w:r>
      <w:r w:rsidRPr="00304A6C">
        <w:rPr>
          <w:rStyle w:val="FootnoteReference"/>
          <w:rFonts w:ascii="Lato" w:eastAsia="Times New Roman" w:hAnsi="Lato" w:cs="Times New Roman"/>
          <w:sz w:val="20"/>
          <w:szCs w:val="20"/>
        </w:rPr>
        <w:footnoteReference w:id="20"/>
      </w:r>
      <w:r w:rsidRPr="00304A6C">
        <w:rPr>
          <w:rStyle w:val="FootnoteReference"/>
          <w:rFonts w:ascii="Lato" w:eastAsia="Times New Roman" w:hAnsi="Lato" w:cs="Times New Roman"/>
          <w:sz w:val="20"/>
          <w:szCs w:val="20"/>
        </w:rPr>
        <w:footnoteReference w:id="21"/>
      </w:r>
      <w:r w:rsidR="16043CCD" w:rsidRPr="00304A6C">
        <w:rPr>
          <w:rFonts w:ascii="Lato" w:eastAsia="Times New Roman" w:hAnsi="Lato" w:cs="Times New Roman"/>
          <w:sz w:val="20"/>
          <w:szCs w:val="20"/>
        </w:rPr>
        <w:t xml:space="preserve"> </w:t>
      </w:r>
      <w:r w:rsidR="00AC5957" w:rsidRPr="00304A6C">
        <w:rPr>
          <w:rFonts w:ascii="Lato" w:eastAsia="Times New Roman" w:hAnsi="Lato" w:cs="Times New Roman"/>
          <w:sz w:val="20"/>
          <w:szCs w:val="20"/>
        </w:rPr>
        <w:t xml:space="preserve">Along those same lines, there is also a concern that these additional fees </w:t>
      </w:r>
      <w:r w:rsidR="16043CCD" w:rsidRPr="00304A6C">
        <w:rPr>
          <w:rFonts w:ascii="Lato" w:hAnsi="Lato" w:cs="Times New Roman"/>
          <w:sz w:val="20"/>
          <w:szCs w:val="20"/>
        </w:rPr>
        <w:t>could price Fannie Mae or Freddie Mac out of the money for qualified minority low- and moderate-income applicants who have a low enough loan amount to find a better execution from FHA</w:t>
      </w:r>
      <w:r w:rsidR="00AC5957" w:rsidRPr="00304A6C">
        <w:rPr>
          <w:rFonts w:ascii="Lato" w:hAnsi="Lato" w:cs="Times New Roman"/>
          <w:sz w:val="20"/>
          <w:szCs w:val="20"/>
        </w:rPr>
        <w:t xml:space="preserve">. (That said, </w:t>
      </w:r>
      <w:r w:rsidR="16043CCD" w:rsidRPr="00304A6C">
        <w:rPr>
          <w:rFonts w:ascii="Lato" w:hAnsi="Lato" w:cs="Times New Roman"/>
          <w:sz w:val="20"/>
          <w:szCs w:val="20"/>
        </w:rPr>
        <w:t xml:space="preserve">some might argue that </w:t>
      </w:r>
      <w:r w:rsidR="006E1AC1" w:rsidRPr="00304A6C">
        <w:rPr>
          <w:rFonts w:ascii="Lato" w:hAnsi="Lato" w:cs="Times New Roman"/>
          <w:sz w:val="20"/>
          <w:szCs w:val="20"/>
        </w:rPr>
        <w:t>i</w:t>
      </w:r>
      <w:r w:rsidR="16043CCD" w:rsidRPr="00304A6C">
        <w:rPr>
          <w:rFonts w:ascii="Lato" w:hAnsi="Lato" w:cs="Times New Roman"/>
          <w:sz w:val="20"/>
          <w:szCs w:val="20"/>
        </w:rPr>
        <w:t>f the qualified applicant obtains a loan at a cheaper price, equity is still served</w:t>
      </w:r>
      <w:r w:rsidR="00AC5957" w:rsidRPr="00304A6C">
        <w:rPr>
          <w:rFonts w:ascii="Lato" w:hAnsi="Lato" w:cs="Times New Roman"/>
          <w:sz w:val="20"/>
          <w:szCs w:val="20"/>
        </w:rPr>
        <w:t>)</w:t>
      </w:r>
      <w:r w:rsidR="16043CCD" w:rsidRPr="00304A6C">
        <w:rPr>
          <w:rFonts w:ascii="Lato" w:hAnsi="Lato" w:cs="Times New Roman"/>
          <w:sz w:val="20"/>
          <w:szCs w:val="20"/>
        </w:rPr>
        <w:t xml:space="preserve">. </w:t>
      </w:r>
      <w:r w:rsidR="00AC5957" w:rsidRPr="00304A6C">
        <w:rPr>
          <w:rFonts w:ascii="Lato" w:hAnsi="Lato" w:cs="Times New Roman"/>
          <w:sz w:val="20"/>
          <w:szCs w:val="20"/>
        </w:rPr>
        <w:t>In any case, a</w:t>
      </w:r>
      <w:r w:rsidR="16043CCD" w:rsidRPr="00304A6C">
        <w:rPr>
          <w:rFonts w:ascii="Lato" w:hAnsi="Lato" w:cs="Times New Roman"/>
          <w:sz w:val="20"/>
          <w:szCs w:val="20"/>
        </w:rPr>
        <w:t>n even greater concern arises if high LLPAs price underserved minority applicants who are approved for an Enterprise loan out of the market entirely</w:t>
      </w:r>
      <w:r w:rsidR="00AC5957" w:rsidRPr="00304A6C">
        <w:rPr>
          <w:rFonts w:ascii="Lato" w:hAnsi="Lato" w:cs="Times New Roman"/>
          <w:sz w:val="20"/>
          <w:szCs w:val="20"/>
        </w:rPr>
        <w:t xml:space="preserve">, leaving such applicants </w:t>
      </w:r>
      <w:r w:rsidR="16043CCD" w:rsidRPr="00304A6C">
        <w:rPr>
          <w:rFonts w:ascii="Lato" w:hAnsi="Lato" w:cs="Times New Roman"/>
          <w:sz w:val="20"/>
          <w:szCs w:val="20"/>
        </w:rPr>
        <w:t>unable to buy a home.</w:t>
      </w:r>
      <w:r w:rsidR="00AC5957" w:rsidRPr="00304A6C">
        <w:rPr>
          <w:rFonts w:ascii="Lato" w:hAnsi="Lato" w:cs="Times New Roman"/>
          <w:sz w:val="20"/>
          <w:szCs w:val="20"/>
        </w:rPr>
        <w:t xml:space="preserve"> Each of these is a major concern with regards to equity and must be examined. </w:t>
      </w:r>
      <w:r w:rsidR="16043CCD" w:rsidRPr="00304A6C">
        <w:rPr>
          <w:rFonts w:ascii="Lato" w:hAnsi="Lato" w:cs="Times New Roman"/>
          <w:sz w:val="20"/>
          <w:szCs w:val="20"/>
        </w:rPr>
        <w:t xml:space="preserve">Determining the size of this pool of applicants requires more data on </w:t>
      </w:r>
      <w:r w:rsidR="16043CCD" w:rsidRPr="003027C5">
        <w:rPr>
          <w:rFonts w:ascii="Lato" w:hAnsi="Lato" w:cs="Times New Roman"/>
          <w:sz w:val="20"/>
          <w:szCs w:val="20"/>
        </w:rPr>
        <w:t xml:space="preserve">applications across the Enterprises and FHA, the LLPAs paid by different borrower segments, and data on the disposition of those applications. </w:t>
      </w:r>
    </w:p>
    <w:p w14:paraId="4DE3E1D0" w14:textId="62DA6BDB" w:rsidR="00EA1BDE" w:rsidRPr="00EB1983" w:rsidRDefault="16043CCD" w:rsidP="00EB1983">
      <w:pPr>
        <w:pStyle w:val="NormalWeb"/>
        <w:shd w:val="clear" w:color="auto" w:fill="FFFFFF" w:themeFill="background1"/>
        <w:spacing w:before="0" w:beforeAutospacing="0" w:after="160" w:afterAutospacing="0"/>
        <w:rPr>
          <w:rFonts w:ascii="Lato" w:hAnsi="Lato"/>
          <w:color w:val="000000" w:themeColor="text1"/>
          <w:sz w:val="20"/>
          <w:szCs w:val="20"/>
        </w:rPr>
      </w:pPr>
      <w:r w:rsidRPr="00EB1983">
        <w:rPr>
          <w:rFonts w:ascii="Lato" w:hAnsi="Lato"/>
          <w:color w:val="000000" w:themeColor="text1"/>
          <w:sz w:val="20"/>
          <w:szCs w:val="20"/>
        </w:rPr>
        <w:t xml:space="preserve">As noted, we do not intend this as a complete list but an illustrative one. The full range of activities, both new and existing, should be evaluated against the equity objectives, encompassing outreach, content, </w:t>
      </w:r>
      <w:r w:rsidRPr="00EB1983">
        <w:rPr>
          <w:rFonts w:ascii="Lato" w:hAnsi="Lato"/>
          <w:color w:val="000000" w:themeColor="text1"/>
          <w:sz w:val="20"/>
          <w:szCs w:val="20"/>
        </w:rPr>
        <w:lastRenderedPageBreak/>
        <w:t>product and program design, loss mitigation and servicing provisions, property disposition,</w:t>
      </w:r>
      <w:r w:rsidR="00B270AD" w:rsidRPr="00EB1983">
        <w:rPr>
          <w:rFonts w:ascii="Lato" w:hAnsi="Lato"/>
          <w:color w:val="000000" w:themeColor="text1"/>
          <w:sz w:val="20"/>
          <w:szCs w:val="20"/>
        </w:rPr>
        <w:t xml:space="preserve"> rental housing investments,</w:t>
      </w:r>
      <w:r w:rsidRPr="00EB1983">
        <w:rPr>
          <w:rFonts w:ascii="Lato" w:hAnsi="Lato"/>
          <w:color w:val="000000" w:themeColor="text1"/>
          <w:sz w:val="20"/>
          <w:szCs w:val="20"/>
        </w:rPr>
        <w:t xml:space="preserve"> </w:t>
      </w:r>
      <w:r w:rsidR="00B270AD" w:rsidRPr="00EB1983">
        <w:rPr>
          <w:rFonts w:ascii="Lato" w:hAnsi="Lato"/>
          <w:color w:val="000000" w:themeColor="text1"/>
          <w:sz w:val="20"/>
          <w:szCs w:val="20"/>
        </w:rPr>
        <w:t xml:space="preserve">and </w:t>
      </w:r>
      <w:r w:rsidRPr="00EB1983">
        <w:rPr>
          <w:rFonts w:ascii="Lato" w:hAnsi="Lato"/>
          <w:color w:val="000000" w:themeColor="text1"/>
          <w:sz w:val="20"/>
          <w:szCs w:val="20"/>
        </w:rPr>
        <w:t>housing supply and climate</w:t>
      </w:r>
      <w:r w:rsidR="00B270AD" w:rsidRPr="00EB1983">
        <w:rPr>
          <w:rStyle w:val="FootnoteReference"/>
          <w:rFonts w:ascii="Lato" w:hAnsi="Lato"/>
          <w:color w:val="000000" w:themeColor="text1"/>
          <w:sz w:val="20"/>
          <w:szCs w:val="20"/>
        </w:rPr>
        <w:footnoteReference w:id="22"/>
      </w:r>
      <w:r w:rsidRPr="00EB1983">
        <w:rPr>
          <w:rFonts w:ascii="Lato" w:hAnsi="Lato"/>
          <w:color w:val="000000" w:themeColor="text1"/>
          <w:sz w:val="20"/>
          <w:szCs w:val="20"/>
        </w:rPr>
        <w:t xml:space="preserve"> considerations, just to name a few.</w:t>
      </w:r>
    </w:p>
    <w:p w14:paraId="7EDD084C" w14:textId="2320BC91" w:rsidR="00786902" w:rsidRPr="00EB1983" w:rsidRDefault="00786902" w:rsidP="00EB1983">
      <w:pPr>
        <w:shd w:val="clear" w:color="auto" w:fill="FFFFFF"/>
        <w:spacing w:line="240" w:lineRule="auto"/>
        <w:outlineLvl w:val="0"/>
        <w:rPr>
          <w:rFonts w:ascii="Lato" w:hAnsi="Lato" w:cs="Times New Roman"/>
          <w:b/>
          <w:sz w:val="20"/>
          <w:szCs w:val="20"/>
        </w:rPr>
      </w:pPr>
      <w:r w:rsidRPr="00EB1983">
        <w:rPr>
          <w:rFonts w:ascii="Lato" w:hAnsi="Lato" w:cs="Times New Roman"/>
          <w:b/>
          <w:sz w:val="20"/>
          <w:szCs w:val="20"/>
        </w:rPr>
        <w:t xml:space="preserve">Recommendation #3: </w:t>
      </w:r>
      <w:r w:rsidR="00EA1BDE" w:rsidRPr="00EB1983">
        <w:rPr>
          <w:rFonts w:ascii="Lato" w:hAnsi="Lato" w:cs="Times New Roman"/>
          <w:b/>
          <w:sz w:val="20"/>
          <w:szCs w:val="20"/>
        </w:rPr>
        <w:t>Align reporting, systems and structures around the equity objectives.</w:t>
      </w:r>
      <w:r w:rsidR="00D2259F" w:rsidRPr="00EB1983">
        <w:rPr>
          <w:rFonts w:ascii="Lato" w:hAnsi="Lato" w:cs="Times New Roman"/>
          <w:b/>
          <w:sz w:val="20"/>
          <w:szCs w:val="20"/>
        </w:rPr>
        <w:t xml:space="preserve"> </w:t>
      </w:r>
    </w:p>
    <w:p w14:paraId="73FA3965" w14:textId="79B67766" w:rsidR="009315E9" w:rsidRPr="00EB1983" w:rsidRDefault="00D2259F" w:rsidP="00EB1983">
      <w:pPr>
        <w:shd w:val="clear" w:color="auto" w:fill="FFFFFF"/>
        <w:spacing w:line="240" w:lineRule="auto"/>
        <w:outlineLvl w:val="0"/>
        <w:rPr>
          <w:rFonts w:ascii="Lato" w:hAnsi="Lato" w:cs="Times New Roman"/>
          <w:bCs/>
          <w:sz w:val="20"/>
          <w:szCs w:val="20"/>
        </w:rPr>
      </w:pPr>
      <w:r w:rsidRPr="00EB1983">
        <w:rPr>
          <w:rFonts w:ascii="Lato" w:hAnsi="Lato" w:cs="Times New Roman"/>
          <w:bCs/>
          <w:sz w:val="20"/>
          <w:szCs w:val="20"/>
        </w:rPr>
        <w:t xml:space="preserve">As is the case with any </w:t>
      </w:r>
      <w:r w:rsidR="009C3937" w:rsidRPr="00EB1983">
        <w:rPr>
          <w:rFonts w:ascii="Lato" w:hAnsi="Lato" w:cs="Times New Roman"/>
          <w:bCs/>
          <w:sz w:val="20"/>
          <w:szCs w:val="20"/>
        </w:rPr>
        <w:t>goal</w:t>
      </w:r>
      <w:r w:rsidRPr="00EB1983">
        <w:rPr>
          <w:rFonts w:ascii="Lato" w:hAnsi="Lato" w:cs="Times New Roman"/>
          <w:bCs/>
          <w:sz w:val="20"/>
          <w:szCs w:val="20"/>
        </w:rPr>
        <w:t>, it is imperative that FHFA establish an effective system for measuring</w:t>
      </w:r>
      <w:r w:rsidR="00CC62E2" w:rsidRPr="00EB1983">
        <w:rPr>
          <w:rFonts w:ascii="Lato" w:hAnsi="Lato" w:cs="Times New Roman"/>
          <w:bCs/>
          <w:sz w:val="20"/>
          <w:szCs w:val="20"/>
        </w:rPr>
        <w:t>,</w:t>
      </w:r>
      <w:r w:rsidR="00776FB4" w:rsidRPr="00EB1983">
        <w:rPr>
          <w:rFonts w:ascii="Lato" w:hAnsi="Lato" w:cs="Times New Roman"/>
          <w:bCs/>
          <w:sz w:val="20"/>
          <w:szCs w:val="20"/>
        </w:rPr>
        <w:t xml:space="preserve"> </w:t>
      </w:r>
      <w:r w:rsidR="00EB1983">
        <w:rPr>
          <w:rFonts w:ascii="Lato" w:hAnsi="Lato" w:cs="Times New Roman"/>
          <w:bCs/>
          <w:sz w:val="20"/>
          <w:szCs w:val="20"/>
        </w:rPr>
        <w:t>e</w:t>
      </w:r>
      <w:r w:rsidRPr="00EB1983">
        <w:rPr>
          <w:rFonts w:ascii="Lato" w:hAnsi="Lato" w:cs="Times New Roman"/>
          <w:bCs/>
          <w:sz w:val="20"/>
          <w:szCs w:val="20"/>
        </w:rPr>
        <w:t xml:space="preserve">valuating </w:t>
      </w:r>
      <w:r w:rsidR="00CC62E2" w:rsidRPr="00EB1983">
        <w:rPr>
          <w:rFonts w:ascii="Lato" w:hAnsi="Lato" w:cs="Times New Roman"/>
          <w:bCs/>
          <w:sz w:val="20"/>
          <w:szCs w:val="20"/>
        </w:rPr>
        <w:t xml:space="preserve">and publicly reporting </w:t>
      </w:r>
      <w:r w:rsidRPr="00EB1983">
        <w:rPr>
          <w:rFonts w:ascii="Lato" w:hAnsi="Lato" w:cs="Times New Roman"/>
          <w:bCs/>
          <w:sz w:val="20"/>
          <w:szCs w:val="20"/>
        </w:rPr>
        <w:t>progress towards the goals of reducing the racial homeownership gap and increasing investment in underserved and segregated communities. This shouldn’t be a marginal activity</w:t>
      </w:r>
      <w:r w:rsidR="007601C1" w:rsidRPr="00EB1983">
        <w:rPr>
          <w:rFonts w:ascii="Lato" w:hAnsi="Lato" w:cs="Times New Roman"/>
          <w:bCs/>
          <w:sz w:val="20"/>
          <w:szCs w:val="20"/>
        </w:rPr>
        <w:t xml:space="preserve">, and the early phases of the equity plans should </w:t>
      </w:r>
      <w:r w:rsidR="00760537" w:rsidRPr="00EB1983">
        <w:rPr>
          <w:rFonts w:ascii="Lato" w:hAnsi="Lato" w:cs="Times New Roman"/>
          <w:bCs/>
          <w:sz w:val="20"/>
          <w:szCs w:val="20"/>
        </w:rPr>
        <w:t>describe how the Enterprises will invest</w:t>
      </w:r>
      <w:r w:rsidR="007601C1" w:rsidRPr="00EB1983">
        <w:rPr>
          <w:rFonts w:ascii="Lato" w:hAnsi="Lato" w:cs="Times New Roman"/>
          <w:bCs/>
          <w:sz w:val="20"/>
          <w:szCs w:val="20"/>
        </w:rPr>
        <w:t xml:space="preserve"> in building a sustained measurement and reporting system</w:t>
      </w:r>
      <w:r w:rsidR="00760537" w:rsidRPr="00EB1983">
        <w:rPr>
          <w:rFonts w:ascii="Lato" w:hAnsi="Lato" w:cs="Times New Roman"/>
          <w:bCs/>
          <w:sz w:val="20"/>
          <w:szCs w:val="20"/>
        </w:rPr>
        <w:t>, much as they would for financial reporting</w:t>
      </w:r>
      <w:r w:rsidR="007601C1" w:rsidRPr="00EB1983">
        <w:rPr>
          <w:rFonts w:ascii="Lato" w:hAnsi="Lato" w:cs="Times New Roman"/>
          <w:bCs/>
          <w:sz w:val="20"/>
          <w:szCs w:val="20"/>
        </w:rPr>
        <w:t xml:space="preserve">. </w:t>
      </w:r>
    </w:p>
    <w:p w14:paraId="3BA03DA7" w14:textId="0EDC031E" w:rsidR="00D96C41" w:rsidRPr="00EB1983" w:rsidRDefault="00D96C41" w:rsidP="00EB1983">
      <w:pPr>
        <w:shd w:val="clear" w:color="auto" w:fill="FFFFFF"/>
        <w:spacing w:line="240" w:lineRule="auto"/>
        <w:outlineLvl w:val="0"/>
        <w:rPr>
          <w:rFonts w:ascii="Lato" w:hAnsi="Lato" w:cs="Times New Roman"/>
          <w:sz w:val="20"/>
          <w:szCs w:val="20"/>
        </w:rPr>
      </w:pPr>
      <w:r w:rsidRPr="00EB1983">
        <w:rPr>
          <w:rFonts w:ascii="Lato" w:hAnsi="Lato" w:cs="Times New Roman"/>
          <w:sz w:val="20"/>
          <w:szCs w:val="20"/>
        </w:rPr>
        <w:t>The initial plans should include, but go well beyond</w:t>
      </w:r>
      <w:r w:rsidR="006E1AC1" w:rsidRPr="00EB1983">
        <w:rPr>
          <w:rFonts w:ascii="Lato" w:hAnsi="Lato" w:cs="Times New Roman"/>
          <w:sz w:val="20"/>
          <w:szCs w:val="20"/>
        </w:rPr>
        <w:t xml:space="preserve">, </w:t>
      </w:r>
      <w:r w:rsidRPr="00EB1983">
        <w:rPr>
          <w:rFonts w:ascii="Lato" w:hAnsi="Lato" w:cs="Times New Roman"/>
          <w:sz w:val="20"/>
          <w:szCs w:val="20"/>
        </w:rPr>
        <w:t>a list of immediate actions.  We recommend that the Enterprises and FHFA plan to design and implement a framework and system to support and sustain the equity ethic across the Enterprises</w:t>
      </w:r>
      <w:r w:rsidR="006E1AC1" w:rsidRPr="00EB1983">
        <w:rPr>
          <w:rFonts w:ascii="Lato" w:hAnsi="Lato" w:cs="Times New Roman"/>
          <w:sz w:val="20"/>
          <w:szCs w:val="20"/>
        </w:rPr>
        <w:t>’</w:t>
      </w:r>
      <w:r w:rsidRPr="00EB1983">
        <w:rPr>
          <w:rFonts w:ascii="Lato" w:hAnsi="Lato" w:cs="Times New Roman"/>
          <w:sz w:val="20"/>
          <w:szCs w:val="20"/>
        </w:rPr>
        <w:t xml:space="preserve"> operations, and over time and evolving conditions. This will require an upfront investment in systems, structures and policies. It could also provide for such elements as an equity audit of current practices and policies. Such an audit could be conducted not only within the Enterprises</w:t>
      </w:r>
      <w:r w:rsidR="006E1AC1" w:rsidRPr="00EB1983">
        <w:rPr>
          <w:rFonts w:ascii="Lato" w:hAnsi="Lato" w:cs="Times New Roman"/>
          <w:sz w:val="20"/>
          <w:szCs w:val="20"/>
        </w:rPr>
        <w:t>’</w:t>
      </w:r>
      <w:r w:rsidRPr="00EB1983">
        <w:rPr>
          <w:rFonts w:ascii="Lato" w:hAnsi="Lato" w:cs="Times New Roman"/>
          <w:sz w:val="20"/>
          <w:szCs w:val="20"/>
        </w:rPr>
        <w:t xml:space="preserve"> own activities, but ultimately by mapping out how those activities affect and are affected by the wider ecosystem, and how inequity is embedded throughout it.</w:t>
      </w:r>
    </w:p>
    <w:p w14:paraId="388CA8D6" w14:textId="7ABED8A9" w:rsidR="0036027B" w:rsidRPr="00EB1983" w:rsidRDefault="00D24533" w:rsidP="00EB1983">
      <w:pPr>
        <w:spacing w:line="240" w:lineRule="auto"/>
        <w:rPr>
          <w:rFonts w:ascii="Lato" w:hAnsi="Lato" w:cs="Times New Roman"/>
          <w:sz w:val="20"/>
          <w:szCs w:val="20"/>
        </w:rPr>
      </w:pPr>
      <w:r w:rsidRPr="00EB1983">
        <w:rPr>
          <w:rFonts w:ascii="Lato" w:hAnsi="Lato" w:cs="Times New Roman"/>
          <w:b/>
          <w:i/>
          <w:iCs/>
          <w:sz w:val="20"/>
          <w:szCs w:val="20"/>
        </w:rPr>
        <w:t xml:space="preserve">(a) </w:t>
      </w:r>
      <w:r w:rsidR="003B30BA" w:rsidRPr="00EB1983">
        <w:rPr>
          <w:rFonts w:ascii="Lato" w:hAnsi="Lato" w:cs="Times New Roman"/>
          <w:b/>
          <w:i/>
          <w:iCs/>
          <w:sz w:val="20"/>
          <w:szCs w:val="20"/>
          <w:u w:val="single"/>
        </w:rPr>
        <w:t>Align EHFPs to Affirmatively Further Fair Housing</w:t>
      </w:r>
      <w:r w:rsidRPr="00EB1983">
        <w:rPr>
          <w:rFonts w:ascii="Lato" w:hAnsi="Lato" w:cs="Times New Roman"/>
          <w:sz w:val="20"/>
          <w:szCs w:val="20"/>
        </w:rPr>
        <w:t xml:space="preserve">. </w:t>
      </w:r>
      <w:r w:rsidR="0036027B" w:rsidRPr="00EB1983">
        <w:rPr>
          <w:rFonts w:ascii="Lato" w:hAnsi="Lato" w:cs="Times New Roman"/>
          <w:sz w:val="20"/>
          <w:szCs w:val="20"/>
        </w:rPr>
        <w:t>Under the Fair Housing Act, all federal agencies having authority over financial institutions are required to administer their programs and activities relating to housing and urban development in a manner that “affirmatively furthers fair housing” (AFFH).</w:t>
      </w:r>
      <w:r w:rsidR="0036027B" w:rsidRPr="00EB1983">
        <w:rPr>
          <w:rStyle w:val="FootnoteReference"/>
          <w:rFonts w:ascii="Lato" w:hAnsi="Lato"/>
          <w:sz w:val="20"/>
          <w:szCs w:val="20"/>
        </w:rPr>
        <w:footnoteReference w:id="23"/>
      </w:r>
      <w:r w:rsidR="0036027B" w:rsidRPr="00EB1983">
        <w:rPr>
          <w:rFonts w:ascii="Lato" w:hAnsi="Lato" w:cs="Times New Roman"/>
          <w:sz w:val="20"/>
          <w:szCs w:val="20"/>
        </w:rPr>
        <w:t xml:space="preserve">  Though HUD has taken a leading role, FHFA also plays an essential – if largely untapped – role, both in achieving the Act’s broad aspiration to eradicate discrimination from housing and lending markets and in ensuring that the GSEs comply with the AFFH requirement specifically.</w:t>
      </w:r>
      <w:r w:rsidR="0036027B" w:rsidRPr="00EB1983">
        <w:rPr>
          <w:rFonts w:ascii="Lato" w:hAnsi="Lato"/>
          <w:sz w:val="20"/>
          <w:szCs w:val="20"/>
        </w:rPr>
        <w:t xml:space="preserve"> </w:t>
      </w:r>
      <w:r w:rsidR="0036027B" w:rsidRPr="00EB1983">
        <w:rPr>
          <w:rStyle w:val="FootnoteReference"/>
          <w:rFonts w:ascii="Lato" w:hAnsi="Lato"/>
          <w:sz w:val="20"/>
          <w:szCs w:val="20"/>
        </w:rPr>
        <w:footnoteReference w:id="24"/>
      </w:r>
      <w:r w:rsidR="0036027B" w:rsidRPr="00EB1983">
        <w:rPr>
          <w:rFonts w:ascii="Lato" w:hAnsi="Lato" w:cs="Times New Roman"/>
          <w:sz w:val="20"/>
          <w:szCs w:val="20"/>
        </w:rPr>
        <w:t xml:space="preserve"> </w:t>
      </w:r>
    </w:p>
    <w:p w14:paraId="300DE2A0" w14:textId="26F831C7" w:rsidR="0036027B" w:rsidRPr="00EB1983" w:rsidRDefault="16043CCD" w:rsidP="00F801B4">
      <w:pPr>
        <w:spacing w:line="240" w:lineRule="auto"/>
        <w:rPr>
          <w:rFonts w:ascii="Lato" w:hAnsi="Lato" w:cs="Times New Roman"/>
          <w:sz w:val="20"/>
          <w:szCs w:val="20"/>
        </w:rPr>
      </w:pPr>
      <w:r w:rsidRPr="00EB1983">
        <w:rPr>
          <w:rFonts w:ascii="Lato" w:hAnsi="Lato" w:cs="Times New Roman"/>
          <w:sz w:val="20"/>
          <w:szCs w:val="20"/>
        </w:rPr>
        <w:t>AFFH means “taking meaningful actions</w:t>
      </w:r>
      <w:r w:rsidR="00D8599F" w:rsidRPr="00EB1983">
        <w:rPr>
          <w:rFonts w:ascii="Lato" w:hAnsi="Lato" w:cs="Times New Roman"/>
          <w:sz w:val="20"/>
          <w:szCs w:val="20"/>
        </w:rPr>
        <w:t>…</w:t>
      </w:r>
      <w:r w:rsidRPr="00EB1983">
        <w:rPr>
          <w:rFonts w:ascii="Lato" w:hAnsi="Lato" w:cs="Times New Roman"/>
          <w:sz w:val="20"/>
          <w:szCs w:val="20"/>
        </w:rPr>
        <w:t>that overcome patterns of segregation and foster inclusive communities free from barriers that restrict access to opportunity based on protected characteristics.”</w:t>
      </w:r>
      <w:r w:rsidR="009D6185" w:rsidRPr="00EB1983">
        <w:rPr>
          <w:rStyle w:val="FootnoteReference"/>
          <w:rFonts w:ascii="Lato" w:hAnsi="Lato" w:cs="Times New Roman"/>
          <w:sz w:val="20"/>
          <w:szCs w:val="20"/>
        </w:rPr>
        <w:footnoteReference w:id="25"/>
      </w:r>
      <w:r w:rsidRPr="00EB1983">
        <w:rPr>
          <w:rFonts w:ascii="Lato" w:hAnsi="Lato" w:cs="Times New Roman"/>
          <w:sz w:val="20"/>
          <w:szCs w:val="20"/>
        </w:rPr>
        <w:t xml:space="preserve"> </w:t>
      </w:r>
      <w:r w:rsidRPr="00EB1983">
        <w:rPr>
          <w:rFonts w:ascii="Lato" w:hAnsi="Lato" w:cs="Times New Roman"/>
          <w:sz w:val="20"/>
          <w:szCs w:val="20"/>
        </w:rPr>
        <w:lastRenderedPageBreak/>
        <w:t xml:space="preserve">Given the relationship between AFFH and </w:t>
      </w:r>
      <w:r w:rsidR="00D24533" w:rsidRPr="00EB1983">
        <w:rPr>
          <w:rFonts w:ascii="Lato" w:hAnsi="Lato" w:cs="Times New Roman"/>
          <w:sz w:val="20"/>
          <w:szCs w:val="20"/>
        </w:rPr>
        <w:t xml:space="preserve">the </w:t>
      </w:r>
      <w:r w:rsidRPr="00EB1983">
        <w:rPr>
          <w:rFonts w:ascii="Lato" w:hAnsi="Lato" w:cs="Times New Roman"/>
          <w:sz w:val="20"/>
          <w:szCs w:val="20"/>
        </w:rPr>
        <w:t xml:space="preserve">EHF plans, it is </w:t>
      </w:r>
      <w:r w:rsidR="00D8599F" w:rsidRPr="00EB1983">
        <w:rPr>
          <w:rFonts w:ascii="Lato" w:hAnsi="Lato" w:cs="Times New Roman"/>
          <w:sz w:val="20"/>
          <w:szCs w:val="20"/>
        </w:rPr>
        <w:t>key</w:t>
      </w:r>
      <w:r w:rsidRPr="00EB1983">
        <w:rPr>
          <w:rFonts w:ascii="Lato" w:hAnsi="Lato" w:cs="Times New Roman"/>
          <w:sz w:val="20"/>
          <w:szCs w:val="20"/>
        </w:rPr>
        <w:t xml:space="preserve"> that</w:t>
      </w:r>
      <w:r w:rsidR="00D24533" w:rsidRPr="00EB1983">
        <w:rPr>
          <w:rFonts w:ascii="Lato" w:hAnsi="Lato" w:cs="Times New Roman"/>
          <w:sz w:val="20"/>
          <w:szCs w:val="20"/>
        </w:rPr>
        <w:t xml:space="preserve"> </w:t>
      </w:r>
      <w:r w:rsidRPr="00EB1983">
        <w:rPr>
          <w:rFonts w:ascii="Lato" w:hAnsi="Lato" w:cs="Times New Roman"/>
          <w:sz w:val="20"/>
          <w:szCs w:val="20"/>
        </w:rPr>
        <w:t>certain AFFH terms be consistently applied to EHFP guidance. For example, both HUD’s Interim Final AFFH Rule and FHFA’s EHFP guidance require covered units of government and the Enterprises to “take meaningful actions” to address racial disparities.</w:t>
      </w:r>
      <w:r w:rsidR="009D6185" w:rsidRPr="00EB1983">
        <w:rPr>
          <w:rStyle w:val="FootnoteReference"/>
          <w:rFonts w:ascii="Lato" w:hAnsi="Lato" w:cs="Times New Roman"/>
          <w:sz w:val="20"/>
          <w:szCs w:val="20"/>
        </w:rPr>
        <w:footnoteReference w:id="26"/>
      </w:r>
      <w:r w:rsidRPr="00EB1983">
        <w:rPr>
          <w:rFonts w:ascii="Lato" w:hAnsi="Lato" w:cs="Times New Roman"/>
          <w:sz w:val="20"/>
          <w:szCs w:val="20"/>
        </w:rPr>
        <w:t xml:space="preserve"> The AFFH rule defines meaningful actions to be “actions that are designed and can be reasonably expected to achieve a material positive change that affirmatively furthers fair housing by, for example, increasing fair housing choice or decreasing disparities in access to opportunity.” HUD also provides state and local governments a variety of valuable granular data and analytical tools to help them prepare their </w:t>
      </w:r>
      <w:r w:rsidR="00D24533" w:rsidRPr="00EB1983">
        <w:rPr>
          <w:rFonts w:ascii="Lato" w:hAnsi="Lato" w:cs="Times New Roman"/>
          <w:sz w:val="20"/>
          <w:szCs w:val="20"/>
        </w:rPr>
        <w:t>AFFH</w:t>
      </w:r>
      <w:r w:rsidRPr="00EB1983">
        <w:rPr>
          <w:rFonts w:ascii="Lato" w:hAnsi="Lato" w:cs="Times New Roman"/>
          <w:sz w:val="20"/>
          <w:szCs w:val="20"/>
        </w:rPr>
        <w:t xml:space="preserve"> plans.</w:t>
      </w:r>
      <w:r w:rsidR="009D6185" w:rsidRPr="00EB1983">
        <w:rPr>
          <w:rStyle w:val="FootnoteReference"/>
          <w:rFonts w:ascii="Lato" w:hAnsi="Lato" w:cs="Times New Roman"/>
          <w:sz w:val="20"/>
          <w:szCs w:val="20"/>
        </w:rPr>
        <w:footnoteReference w:id="27"/>
      </w:r>
      <w:r w:rsidR="00EB1983">
        <w:rPr>
          <w:rFonts w:ascii="Lato" w:hAnsi="Lato" w:cs="Times New Roman"/>
          <w:sz w:val="20"/>
          <w:szCs w:val="20"/>
        </w:rPr>
        <w:t xml:space="preserve"> </w:t>
      </w:r>
      <w:r w:rsidRPr="00EB1983">
        <w:rPr>
          <w:rFonts w:ascii="Lato" w:hAnsi="Lato" w:cs="Times New Roman"/>
          <w:sz w:val="20"/>
          <w:szCs w:val="20"/>
        </w:rPr>
        <w:t xml:space="preserve">These data and tools can be valuable resources to the Enterprises in preparing their EHFPs, and to external stakeholders seeking to hold them accountable for meeting their equitable housing obligations. </w:t>
      </w:r>
      <w:r w:rsidR="00D8599F" w:rsidRPr="00EB1983">
        <w:rPr>
          <w:rFonts w:ascii="Lato" w:hAnsi="Lato" w:cs="Times New Roman"/>
          <w:sz w:val="20"/>
          <w:szCs w:val="20"/>
        </w:rPr>
        <w:t>Moreover</w:t>
      </w:r>
      <w:r w:rsidR="0036027B" w:rsidRPr="00EB1983">
        <w:rPr>
          <w:rFonts w:ascii="Lato" w:hAnsi="Lato" w:cs="Times New Roman"/>
          <w:sz w:val="20"/>
          <w:szCs w:val="20"/>
        </w:rPr>
        <w:t>, FHFA should work with HUD, Treasury, USDA and VA and other agencies that administer housing programs and share responsibility for complying with the Fair Housing Act to align definitions of AFFH and develop a coordinated approach to implementation and enforcement.</w:t>
      </w:r>
      <w:r w:rsidR="0036027B" w:rsidRPr="00EB1983">
        <w:rPr>
          <w:rFonts w:ascii="Lato" w:hAnsi="Lato"/>
          <w:sz w:val="20"/>
          <w:szCs w:val="20"/>
        </w:rPr>
        <w:t xml:space="preserve"> </w:t>
      </w:r>
      <w:r w:rsidR="0036027B" w:rsidRPr="00EB1983">
        <w:rPr>
          <w:rStyle w:val="FootnoteReference"/>
          <w:rFonts w:ascii="Lato" w:hAnsi="Lato"/>
          <w:sz w:val="20"/>
          <w:szCs w:val="20"/>
        </w:rPr>
        <w:footnoteReference w:id="28"/>
      </w:r>
    </w:p>
    <w:p w14:paraId="16F45CAF" w14:textId="749A79D2" w:rsidR="009662E5" w:rsidRPr="00EB1983" w:rsidRDefault="00E64990" w:rsidP="00F801B4">
      <w:pPr>
        <w:shd w:val="clear" w:color="auto" w:fill="FFFFFF"/>
        <w:spacing w:line="240" w:lineRule="auto"/>
        <w:outlineLvl w:val="0"/>
        <w:rPr>
          <w:rFonts w:ascii="Lato" w:hAnsi="Lato" w:cs="Times New Roman"/>
          <w:sz w:val="20"/>
          <w:szCs w:val="20"/>
        </w:rPr>
      </w:pPr>
      <w:r w:rsidRPr="00EB1983">
        <w:rPr>
          <w:rFonts w:ascii="Lato" w:hAnsi="Lato" w:cs="Times New Roman"/>
          <w:b/>
          <w:i/>
          <w:iCs/>
          <w:sz w:val="20"/>
          <w:szCs w:val="20"/>
        </w:rPr>
        <w:t xml:space="preserve">(b) </w:t>
      </w:r>
      <w:r w:rsidR="003B30BA" w:rsidRPr="00EB1983">
        <w:rPr>
          <w:rFonts w:ascii="Lato" w:hAnsi="Lato" w:cs="Times New Roman"/>
          <w:b/>
          <w:i/>
          <w:iCs/>
          <w:sz w:val="20"/>
          <w:szCs w:val="20"/>
          <w:u w:val="single"/>
        </w:rPr>
        <w:t xml:space="preserve">Apply </w:t>
      </w:r>
      <w:r w:rsidR="00760537" w:rsidRPr="00EB1983">
        <w:rPr>
          <w:rFonts w:ascii="Lato" w:hAnsi="Lato" w:cs="Times New Roman"/>
          <w:b/>
          <w:i/>
          <w:iCs/>
          <w:sz w:val="20"/>
          <w:szCs w:val="20"/>
          <w:u w:val="single"/>
        </w:rPr>
        <w:t>Learn</w:t>
      </w:r>
      <w:r w:rsidR="003B30BA" w:rsidRPr="00EB1983">
        <w:rPr>
          <w:rFonts w:ascii="Lato" w:hAnsi="Lato" w:cs="Times New Roman"/>
          <w:b/>
          <w:i/>
          <w:iCs/>
          <w:sz w:val="20"/>
          <w:szCs w:val="20"/>
          <w:u w:val="single"/>
        </w:rPr>
        <w:t>ings</w:t>
      </w:r>
      <w:r w:rsidR="00760537" w:rsidRPr="00EB1983">
        <w:rPr>
          <w:rFonts w:ascii="Lato" w:hAnsi="Lato" w:cs="Times New Roman"/>
          <w:b/>
          <w:i/>
          <w:iCs/>
          <w:sz w:val="20"/>
          <w:szCs w:val="20"/>
          <w:u w:val="single"/>
        </w:rPr>
        <w:t xml:space="preserve"> from Affordable Housing and Duty to Serve</w:t>
      </w:r>
      <w:r w:rsidR="00D24533" w:rsidRPr="00EB1983">
        <w:rPr>
          <w:rFonts w:ascii="Lato" w:hAnsi="Lato" w:cs="Times New Roman"/>
          <w:b/>
          <w:i/>
          <w:iCs/>
          <w:sz w:val="20"/>
          <w:szCs w:val="20"/>
          <w:u w:val="single"/>
        </w:rPr>
        <w:t>.</w:t>
      </w:r>
      <w:r w:rsidR="00D24533" w:rsidRPr="00EB1983">
        <w:rPr>
          <w:rFonts w:ascii="Lato" w:hAnsi="Lato" w:cs="Times New Roman"/>
          <w:b/>
          <w:i/>
          <w:iCs/>
          <w:sz w:val="20"/>
          <w:szCs w:val="20"/>
        </w:rPr>
        <w:t xml:space="preserve"> </w:t>
      </w:r>
      <w:r w:rsidR="003B30BA" w:rsidRPr="00EB1983">
        <w:rPr>
          <w:rFonts w:ascii="Lato" w:hAnsi="Lato" w:cs="Times New Roman"/>
          <w:bCs/>
          <w:sz w:val="20"/>
          <w:szCs w:val="20"/>
        </w:rPr>
        <w:t>L</w:t>
      </w:r>
      <w:r w:rsidR="009315E9" w:rsidRPr="00EB1983">
        <w:rPr>
          <w:rFonts w:ascii="Lato" w:hAnsi="Lato" w:cs="Times New Roman"/>
          <w:bCs/>
          <w:sz w:val="20"/>
          <w:szCs w:val="20"/>
        </w:rPr>
        <w:t>ess</w:t>
      </w:r>
      <w:r w:rsidR="009662E5" w:rsidRPr="00EB1983">
        <w:rPr>
          <w:rFonts w:ascii="Lato" w:hAnsi="Lato" w:cs="Times New Roman"/>
          <w:sz w:val="20"/>
          <w:szCs w:val="20"/>
        </w:rPr>
        <w:t xml:space="preserve">ons </w:t>
      </w:r>
      <w:r w:rsidR="009315E9" w:rsidRPr="00EB1983">
        <w:rPr>
          <w:rFonts w:ascii="Lato" w:hAnsi="Lato" w:cs="Times New Roman"/>
          <w:sz w:val="20"/>
          <w:szCs w:val="20"/>
        </w:rPr>
        <w:t xml:space="preserve">learned </w:t>
      </w:r>
      <w:r w:rsidR="009662E5" w:rsidRPr="00EB1983">
        <w:rPr>
          <w:rFonts w:ascii="Lato" w:hAnsi="Lato" w:cs="Times New Roman"/>
          <w:sz w:val="20"/>
          <w:szCs w:val="20"/>
        </w:rPr>
        <w:t xml:space="preserve">from </w:t>
      </w:r>
      <w:r w:rsidR="009315E9" w:rsidRPr="00EB1983">
        <w:rPr>
          <w:rFonts w:ascii="Lato" w:hAnsi="Lato" w:cs="Times New Roman"/>
          <w:sz w:val="20"/>
          <w:szCs w:val="20"/>
        </w:rPr>
        <w:t xml:space="preserve">affordable housing </w:t>
      </w:r>
      <w:r w:rsidR="009B20B6" w:rsidRPr="00EB1983">
        <w:rPr>
          <w:rFonts w:ascii="Lato" w:hAnsi="Lato" w:cs="Times New Roman"/>
          <w:sz w:val="20"/>
          <w:szCs w:val="20"/>
        </w:rPr>
        <w:t xml:space="preserve">goals </w:t>
      </w:r>
      <w:r w:rsidR="009315E9" w:rsidRPr="00EB1983">
        <w:rPr>
          <w:rFonts w:ascii="Lato" w:hAnsi="Lato" w:cs="Times New Roman"/>
          <w:sz w:val="20"/>
          <w:szCs w:val="20"/>
        </w:rPr>
        <w:t>and duty to serve strategies</w:t>
      </w:r>
      <w:r w:rsidR="009662E5" w:rsidRPr="00EB1983">
        <w:rPr>
          <w:rFonts w:ascii="Lato" w:hAnsi="Lato" w:cs="Times New Roman"/>
          <w:sz w:val="20"/>
          <w:szCs w:val="20"/>
        </w:rPr>
        <w:t xml:space="preserve"> can benefit the EHF strategic planning regime.</w:t>
      </w:r>
      <w:r w:rsidR="009B20B6" w:rsidRPr="00EB1983">
        <w:rPr>
          <w:rFonts w:ascii="Lato" w:hAnsi="Lato" w:cs="Times New Roman"/>
          <w:sz w:val="20"/>
          <w:szCs w:val="20"/>
        </w:rPr>
        <w:t xml:space="preserve"> </w:t>
      </w:r>
      <w:r w:rsidR="16043CCD" w:rsidRPr="00EB1983">
        <w:rPr>
          <w:rFonts w:ascii="Lato" w:hAnsi="Lato" w:cs="Times New Roman"/>
          <w:sz w:val="20"/>
          <w:szCs w:val="20"/>
        </w:rPr>
        <w:t xml:space="preserve">In the case of the affordable housing goals regime, baselines and progress in meeting benchmarks established by FHFA are straightforward because they are defined as percentages of Enterprise mortgage purchases, data which are available in real time. This is not always the case with respect to measuring progress in meeting underserved market plan targets because in some instances, </w:t>
      </w:r>
      <w:r w:rsidR="00D24533" w:rsidRPr="00EB1983">
        <w:rPr>
          <w:rFonts w:ascii="Lato" w:hAnsi="Lato" w:cs="Times New Roman"/>
          <w:sz w:val="20"/>
          <w:szCs w:val="20"/>
        </w:rPr>
        <w:t xml:space="preserve">the </w:t>
      </w:r>
      <w:r w:rsidR="16043CCD" w:rsidRPr="00EB1983">
        <w:rPr>
          <w:rFonts w:ascii="Lato" w:hAnsi="Lato" w:cs="Times New Roman"/>
          <w:sz w:val="20"/>
          <w:szCs w:val="20"/>
        </w:rPr>
        <w:t>Enterprise</w:t>
      </w:r>
      <w:r w:rsidR="00D24533" w:rsidRPr="00EB1983">
        <w:rPr>
          <w:rFonts w:ascii="Lato" w:hAnsi="Lato" w:cs="Times New Roman"/>
          <w:sz w:val="20"/>
          <w:szCs w:val="20"/>
        </w:rPr>
        <w:t>s’</w:t>
      </w:r>
      <w:r w:rsidR="16043CCD" w:rsidRPr="00EB1983">
        <w:rPr>
          <w:rFonts w:ascii="Lato" w:hAnsi="Lato" w:cs="Times New Roman"/>
          <w:sz w:val="20"/>
          <w:szCs w:val="20"/>
        </w:rPr>
        <w:t xml:space="preserve"> historical inactivity in specified underserved markets </w:t>
      </w:r>
      <w:r w:rsidR="00D24533" w:rsidRPr="00EB1983">
        <w:rPr>
          <w:rFonts w:ascii="Lato" w:hAnsi="Lato" w:cs="Times New Roman"/>
          <w:sz w:val="20"/>
          <w:szCs w:val="20"/>
        </w:rPr>
        <w:t xml:space="preserve">has </w:t>
      </w:r>
      <w:r w:rsidR="16043CCD" w:rsidRPr="00EB1983">
        <w:rPr>
          <w:rFonts w:ascii="Lato" w:hAnsi="Lato" w:cs="Times New Roman"/>
          <w:sz w:val="20"/>
          <w:szCs w:val="20"/>
        </w:rPr>
        <w:t xml:space="preserve">meant </w:t>
      </w:r>
      <w:r w:rsidR="00D24533" w:rsidRPr="00EB1983">
        <w:rPr>
          <w:rFonts w:ascii="Lato" w:hAnsi="Lato" w:cs="Times New Roman"/>
          <w:sz w:val="20"/>
          <w:szCs w:val="20"/>
        </w:rPr>
        <w:t xml:space="preserve">that </w:t>
      </w:r>
      <w:r w:rsidR="16043CCD" w:rsidRPr="00EB1983">
        <w:rPr>
          <w:rFonts w:ascii="Lato" w:hAnsi="Lato" w:cs="Times New Roman"/>
          <w:sz w:val="20"/>
          <w:szCs w:val="20"/>
        </w:rPr>
        <w:t xml:space="preserve">there </w:t>
      </w:r>
      <w:r w:rsidR="00D24533" w:rsidRPr="00EB1983">
        <w:rPr>
          <w:rFonts w:ascii="Lato" w:hAnsi="Lato" w:cs="Times New Roman"/>
          <w:sz w:val="20"/>
          <w:szCs w:val="20"/>
        </w:rPr>
        <w:t>a</w:t>
      </w:r>
      <w:r w:rsidR="16043CCD" w:rsidRPr="00EB1983">
        <w:rPr>
          <w:rFonts w:ascii="Lato" w:hAnsi="Lato" w:cs="Times New Roman"/>
          <w:sz w:val="20"/>
          <w:szCs w:val="20"/>
        </w:rPr>
        <w:t>re no credible baseline benchmarks against which to measure</w:t>
      </w:r>
      <w:r w:rsidR="16043CCD" w:rsidRPr="003027C5">
        <w:rPr>
          <w:rFonts w:ascii="Lato" w:hAnsi="Lato" w:cs="Times New Roman"/>
          <w:sz w:val="20"/>
          <w:szCs w:val="20"/>
        </w:rPr>
        <w:t xml:space="preserve"> progress. In these cases, both Fannie Mae and Freddie Mac developed transparent processes for establishing credible baseline proxies. Much like with Duty to Serve, FHFA should require each Enterprise to identify the activities it will pursue to advance equitable housing finance and the objectives for advancing each activity which should be strategic, measurable, and time-bound.</w:t>
      </w:r>
      <w:r w:rsidR="009662E5" w:rsidRPr="003027C5">
        <w:rPr>
          <w:rStyle w:val="FootnoteReference"/>
          <w:rFonts w:ascii="Lato" w:hAnsi="Lato" w:cs="Times New Roman"/>
          <w:sz w:val="20"/>
          <w:szCs w:val="20"/>
        </w:rPr>
        <w:footnoteReference w:id="29"/>
      </w:r>
      <w:r w:rsidR="16043CCD" w:rsidRPr="003027C5">
        <w:rPr>
          <w:rFonts w:ascii="Lato" w:hAnsi="Lato" w:cs="Times New Roman"/>
          <w:sz w:val="20"/>
          <w:szCs w:val="20"/>
        </w:rPr>
        <w:t xml:space="preserve"> FHFA’s Duty to Serve evaluation regime requires the Enterprises to align  each underserved market objective to one of four statutory evaluation factors: outreach, loan product development, investments and grants, and loan purchases</w:t>
      </w:r>
      <w:r w:rsidR="00304A6C">
        <w:rPr>
          <w:rFonts w:ascii="Lato" w:hAnsi="Lato" w:cs="Times New Roman"/>
          <w:sz w:val="20"/>
          <w:szCs w:val="20"/>
        </w:rPr>
        <w:t>.</w:t>
      </w:r>
      <w:r w:rsidR="00304A6C">
        <w:rPr>
          <w:rStyle w:val="FootnoteReference"/>
          <w:rFonts w:ascii="Lato" w:hAnsi="Lato" w:cs="Times New Roman"/>
          <w:sz w:val="20"/>
          <w:szCs w:val="20"/>
        </w:rPr>
        <w:footnoteReference w:id="30"/>
      </w:r>
      <w:r w:rsidR="00304A6C">
        <w:rPr>
          <w:rFonts w:ascii="Lato" w:hAnsi="Lato" w:cs="Times New Roman"/>
          <w:sz w:val="20"/>
          <w:szCs w:val="20"/>
        </w:rPr>
        <w:t xml:space="preserve"> </w:t>
      </w:r>
      <w:r w:rsidR="16043CCD" w:rsidRPr="00EB1983">
        <w:rPr>
          <w:rFonts w:ascii="Lato" w:hAnsi="Lato" w:cs="Times New Roman"/>
          <w:sz w:val="20"/>
          <w:szCs w:val="20"/>
        </w:rPr>
        <w:t>These are also a useful construct for creating an evaluation regime for the EFHP process.</w:t>
      </w:r>
    </w:p>
    <w:p w14:paraId="35E762DB" w14:textId="3FDAD0CE" w:rsidR="00B270AD" w:rsidRPr="00EB1983" w:rsidRDefault="00B270AD" w:rsidP="00F801B4">
      <w:pPr>
        <w:spacing w:line="240" w:lineRule="auto"/>
        <w:rPr>
          <w:rFonts w:ascii="Lato" w:hAnsi="Lato"/>
          <w:sz w:val="20"/>
          <w:szCs w:val="20"/>
        </w:rPr>
      </w:pPr>
      <w:r w:rsidRPr="00EB1983">
        <w:rPr>
          <w:rFonts w:ascii="Lato" w:hAnsi="Lato"/>
          <w:sz w:val="20"/>
          <w:szCs w:val="20"/>
        </w:rPr>
        <w:t xml:space="preserve">The statute allows the Enterprises to make equity investments in “projects” as part of their Duty to Serve activities, and this provision should be leveraged and extended to stimulate capital investments and funding for organizations at the enterprise level (not just the property level). These organizations, such as </w:t>
      </w:r>
      <w:r w:rsidR="00EB1983" w:rsidRPr="00EB1983">
        <w:rPr>
          <w:rFonts w:ascii="Lato" w:hAnsi="Lato"/>
          <w:sz w:val="20"/>
          <w:szCs w:val="20"/>
        </w:rPr>
        <w:t>community development financial institutions (</w:t>
      </w:r>
      <w:r w:rsidRPr="00EB1983">
        <w:rPr>
          <w:rFonts w:ascii="Lato" w:hAnsi="Lato"/>
          <w:sz w:val="20"/>
          <w:szCs w:val="20"/>
        </w:rPr>
        <w:t>CDFIs</w:t>
      </w:r>
      <w:r w:rsidR="00EB1983" w:rsidRPr="00EB1983">
        <w:rPr>
          <w:rFonts w:ascii="Lato" w:hAnsi="Lato"/>
          <w:sz w:val="20"/>
          <w:szCs w:val="20"/>
        </w:rPr>
        <w:t xml:space="preserve">) </w:t>
      </w:r>
      <w:r w:rsidRPr="00EB1983">
        <w:rPr>
          <w:rFonts w:ascii="Lato" w:hAnsi="Lato"/>
          <w:sz w:val="20"/>
          <w:szCs w:val="20"/>
        </w:rPr>
        <w:t>and large non-profit housing developers, are best positioned to serve previously redlined, disinvested areas and boost the supply of affordable rental</w:t>
      </w:r>
      <w:r w:rsidR="00EB1983">
        <w:rPr>
          <w:rFonts w:ascii="Lato" w:hAnsi="Lato"/>
          <w:sz w:val="20"/>
          <w:szCs w:val="20"/>
        </w:rPr>
        <w:t xml:space="preserve"> </w:t>
      </w:r>
      <w:r w:rsidR="00EB1983">
        <w:rPr>
          <w:rFonts w:ascii="Lato" w:hAnsi="Lato"/>
          <w:sz w:val="20"/>
          <w:szCs w:val="20"/>
        </w:rPr>
        <w:lastRenderedPageBreak/>
        <w:t>housing</w:t>
      </w:r>
      <w:r w:rsidRPr="00EB1983">
        <w:rPr>
          <w:rFonts w:ascii="Lato" w:hAnsi="Lato"/>
          <w:sz w:val="20"/>
          <w:szCs w:val="20"/>
        </w:rPr>
        <w:t xml:space="preserve">. In this way, we agree with one </w:t>
      </w:r>
      <w:r w:rsidRPr="00EB1983">
        <w:rPr>
          <w:rFonts w:ascii="Lato" w:hAnsi="Lato" w:cs="Times New Roman"/>
          <w:sz w:val="20"/>
          <w:szCs w:val="20"/>
        </w:rPr>
        <w:t>outside evaluation</w:t>
      </w:r>
      <w:r w:rsidR="00EB1983">
        <w:rPr>
          <w:rStyle w:val="FootnoteReference"/>
          <w:rFonts w:ascii="Lato" w:hAnsi="Lato" w:cs="Times New Roman"/>
          <w:sz w:val="20"/>
          <w:szCs w:val="20"/>
        </w:rPr>
        <w:footnoteReference w:id="31"/>
      </w:r>
      <w:r w:rsidRPr="00EB1983">
        <w:rPr>
          <w:rFonts w:ascii="Lato" w:hAnsi="Lato" w:cs="Times New Roman"/>
          <w:sz w:val="20"/>
          <w:szCs w:val="20"/>
        </w:rPr>
        <w:t xml:space="preserve"> of the inaugural Duty to Serve planning cycle that relatively small equity investments by the Enterprises can have an outsized impact on toward</w:t>
      </w:r>
      <w:r w:rsidRPr="00EB1983">
        <w:rPr>
          <w:rFonts w:ascii="Lato" w:hAnsi="Lato"/>
          <w:sz w:val="20"/>
          <w:szCs w:val="20"/>
        </w:rPr>
        <w:t xml:space="preserve"> the equity objectives. </w:t>
      </w:r>
    </w:p>
    <w:p w14:paraId="3907C251" w14:textId="555B4B1E" w:rsidR="006127ED" w:rsidRPr="00F801B4" w:rsidRDefault="00EB1983" w:rsidP="00F801B4">
      <w:pPr>
        <w:spacing w:line="240" w:lineRule="auto"/>
        <w:rPr>
          <w:rFonts w:ascii="Lato" w:hAnsi="Lato" w:cs="Times New Roman"/>
          <w:bCs/>
          <w:sz w:val="20"/>
          <w:szCs w:val="20"/>
        </w:rPr>
      </w:pPr>
      <w:r w:rsidRPr="00F801B4">
        <w:rPr>
          <w:rFonts w:ascii="Lato" w:hAnsi="Lato" w:cs="Times New Roman"/>
          <w:b/>
          <w:bCs/>
          <w:i/>
          <w:iCs/>
          <w:sz w:val="20"/>
          <w:szCs w:val="20"/>
        </w:rPr>
        <w:t xml:space="preserve"> </w:t>
      </w:r>
      <w:r w:rsidR="00E64990" w:rsidRPr="00F801B4">
        <w:rPr>
          <w:rFonts w:ascii="Lato" w:hAnsi="Lato" w:cs="Times New Roman"/>
          <w:b/>
          <w:bCs/>
          <w:i/>
          <w:iCs/>
          <w:sz w:val="20"/>
          <w:szCs w:val="20"/>
        </w:rPr>
        <w:t xml:space="preserve">(c) </w:t>
      </w:r>
      <w:r w:rsidR="00760537" w:rsidRPr="00F801B4">
        <w:rPr>
          <w:rFonts w:ascii="Lato" w:hAnsi="Lato" w:cs="Times New Roman"/>
          <w:b/>
          <w:bCs/>
          <w:i/>
          <w:iCs/>
          <w:sz w:val="20"/>
          <w:szCs w:val="20"/>
          <w:u w:val="single"/>
        </w:rPr>
        <w:t>Use the power of Enterprise data to improve transparency and equity industrywide</w:t>
      </w:r>
      <w:r w:rsidR="00D24533" w:rsidRPr="00F801B4">
        <w:rPr>
          <w:rFonts w:ascii="Lato" w:hAnsi="Lato" w:cs="Times New Roman"/>
          <w:b/>
          <w:bCs/>
          <w:i/>
          <w:iCs/>
          <w:sz w:val="20"/>
          <w:szCs w:val="20"/>
          <w:u w:val="single"/>
        </w:rPr>
        <w:t xml:space="preserve">. </w:t>
      </w:r>
      <w:r w:rsidR="00042864" w:rsidRPr="00F801B4">
        <w:rPr>
          <w:rFonts w:ascii="Lato" w:eastAsia="Times New Roman" w:hAnsi="Lato" w:cs="Times New Roman"/>
          <w:sz w:val="20"/>
          <w:szCs w:val="20"/>
        </w:rPr>
        <w:t>We support FHFA’s interest in the Enterprises producing timel</w:t>
      </w:r>
      <w:r w:rsidR="006127ED" w:rsidRPr="00F801B4">
        <w:rPr>
          <w:rFonts w:ascii="Lato" w:eastAsia="Times New Roman" w:hAnsi="Lato" w:cs="Times New Roman"/>
          <w:sz w:val="20"/>
          <w:szCs w:val="20"/>
        </w:rPr>
        <w:t>y</w:t>
      </w:r>
      <w:r w:rsidR="00042864" w:rsidRPr="00F801B4">
        <w:rPr>
          <w:rFonts w:ascii="Lato" w:eastAsia="Times New Roman" w:hAnsi="Lato" w:cs="Times New Roman"/>
          <w:sz w:val="20"/>
          <w:szCs w:val="20"/>
        </w:rPr>
        <w:t xml:space="preserve"> and publicly available research and data on advancing equity and sustainable housing opportunities. </w:t>
      </w:r>
      <w:r w:rsidR="009315E9" w:rsidRPr="00F801B4">
        <w:rPr>
          <w:rFonts w:ascii="Lato" w:hAnsi="Lato" w:cs="Times New Roman"/>
          <w:bCs/>
          <w:sz w:val="20"/>
          <w:szCs w:val="20"/>
        </w:rPr>
        <w:t xml:space="preserve">FHFA and the Enterprises have </w:t>
      </w:r>
      <w:r w:rsidR="006127ED" w:rsidRPr="00F801B4">
        <w:rPr>
          <w:rFonts w:ascii="Lato" w:hAnsi="Lato" w:cs="Times New Roman"/>
          <w:bCs/>
          <w:sz w:val="20"/>
          <w:szCs w:val="20"/>
        </w:rPr>
        <w:t xml:space="preserve">implemented an array of measurement and reporting mechanisms </w:t>
      </w:r>
      <w:r w:rsidR="009315E9" w:rsidRPr="00F801B4">
        <w:rPr>
          <w:rFonts w:ascii="Lato" w:hAnsi="Lato" w:cs="Times New Roman"/>
          <w:bCs/>
          <w:sz w:val="20"/>
          <w:szCs w:val="20"/>
        </w:rPr>
        <w:t>to inform their business activities</w:t>
      </w:r>
      <w:r w:rsidR="007601C1" w:rsidRPr="00F801B4">
        <w:rPr>
          <w:rFonts w:ascii="Lato" w:hAnsi="Lato" w:cs="Times New Roman"/>
          <w:bCs/>
          <w:sz w:val="20"/>
          <w:szCs w:val="20"/>
        </w:rPr>
        <w:t>,</w:t>
      </w:r>
      <w:r w:rsidR="009315E9" w:rsidRPr="00F801B4">
        <w:rPr>
          <w:rFonts w:ascii="Lato" w:hAnsi="Lato" w:cs="Times New Roman"/>
          <w:bCs/>
          <w:sz w:val="20"/>
          <w:szCs w:val="20"/>
        </w:rPr>
        <w:t xml:space="preserve"> stakeholders</w:t>
      </w:r>
      <w:r w:rsidR="007601C1" w:rsidRPr="00F801B4">
        <w:rPr>
          <w:rFonts w:ascii="Lato" w:hAnsi="Lato" w:cs="Times New Roman"/>
          <w:bCs/>
          <w:sz w:val="20"/>
          <w:szCs w:val="20"/>
        </w:rPr>
        <w:t>, and the public</w:t>
      </w:r>
      <w:r w:rsidR="006127ED" w:rsidRPr="00F801B4">
        <w:rPr>
          <w:rFonts w:ascii="Lato" w:hAnsi="Lato" w:cs="Times New Roman"/>
          <w:bCs/>
          <w:sz w:val="20"/>
          <w:szCs w:val="20"/>
        </w:rPr>
        <w:t xml:space="preserve">, and equity reporting mechanisms should receive similar </w:t>
      </w:r>
      <w:r w:rsidR="003168BA" w:rsidRPr="00F801B4">
        <w:rPr>
          <w:rFonts w:ascii="Lato" w:hAnsi="Lato" w:cs="Times New Roman"/>
          <w:bCs/>
          <w:sz w:val="20"/>
          <w:szCs w:val="20"/>
        </w:rPr>
        <w:t>investment and visibility</w:t>
      </w:r>
      <w:r w:rsidR="006127ED" w:rsidRPr="00F801B4">
        <w:rPr>
          <w:rFonts w:ascii="Lato" w:hAnsi="Lato" w:cs="Times New Roman"/>
          <w:bCs/>
          <w:sz w:val="20"/>
          <w:szCs w:val="20"/>
        </w:rPr>
        <w:t>.</w:t>
      </w:r>
      <w:r w:rsidR="009315E9" w:rsidRPr="00F801B4">
        <w:rPr>
          <w:rFonts w:ascii="Lato" w:hAnsi="Lato" w:cs="Times New Roman"/>
          <w:bCs/>
          <w:sz w:val="20"/>
          <w:szCs w:val="20"/>
        </w:rPr>
        <w:t xml:space="preserve"> </w:t>
      </w:r>
    </w:p>
    <w:p w14:paraId="286D51B8" w14:textId="5F654DCB" w:rsidR="00386E34" w:rsidRPr="00F801B4" w:rsidRDefault="00157D56" w:rsidP="00F801B4">
      <w:pPr>
        <w:spacing w:line="240" w:lineRule="auto"/>
        <w:rPr>
          <w:rFonts w:ascii="Lato" w:hAnsi="Lato" w:cs="Times New Roman"/>
          <w:sz w:val="20"/>
          <w:szCs w:val="20"/>
        </w:rPr>
      </w:pPr>
      <w:r w:rsidRPr="00F801B4">
        <w:rPr>
          <w:rFonts w:ascii="Lato" w:hAnsi="Lato" w:cs="Times New Roman"/>
          <w:bCs/>
          <w:sz w:val="20"/>
          <w:szCs w:val="20"/>
        </w:rPr>
        <w:t xml:space="preserve">For example, recently the Enterprises developed extensive monthly loan-level disclosures </w:t>
      </w:r>
      <w:r w:rsidR="00070D1A" w:rsidRPr="00F801B4">
        <w:rPr>
          <w:rFonts w:ascii="Lato" w:eastAsia="Times New Roman" w:hAnsi="Lato" w:cs="Times New Roman"/>
          <w:sz w:val="20"/>
          <w:szCs w:val="20"/>
          <w:bdr w:val="none" w:sz="0" w:space="0" w:color="auto" w:frame="1"/>
        </w:rPr>
        <w:t xml:space="preserve">to </w:t>
      </w:r>
      <w:r w:rsidR="006F1E7D" w:rsidRPr="00F801B4">
        <w:rPr>
          <w:rFonts w:ascii="Lato" w:eastAsia="Times New Roman" w:hAnsi="Lato" w:cs="Times New Roman"/>
          <w:sz w:val="20"/>
          <w:szCs w:val="20"/>
          <w:bdr w:val="none" w:sz="0" w:space="0" w:color="auto" w:frame="1"/>
        </w:rPr>
        <w:t xml:space="preserve">provide transparency to investors in the credit risk transfer </w:t>
      </w:r>
      <w:r w:rsidRPr="00F801B4">
        <w:rPr>
          <w:rFonts w:ascii="Lato" w:eastAsia="Times New Roman" w:hAnsi="Lato" w:cs="Times New Roman"/>
          <w:sz w:val="20"/>
          <w:szCs w:val="20"/>
          <w:bdr w:val="none" w:sz="0" w:space="0" w:color="auto" w:frame="1"/>
        </w:rPr>
        <w:t>(</w:t>
      </w:r>
      <w:r w:rsidR="006F1E7D" w:rsidRPr="00F801B4">
        <w:rPr>
          <w:rFonts w:ascii="Lato" w:eastAsia="Times New Roman" w:hAnsi="Lato" w:cs="Times New Roman"/>
          <w:sz w:val="20"/>
          <w:szCs w:val="20"/>
          <w:bdr w:val="none" w:sz="0" w:space="0" w:color="auto" w:frame="1"/>
        </w:rPr>
        <w:t>CRT) market.</w:t>
      </w:r>
      <w:r w:rsidR="00760537" w:rsidRPr="00F801B4">
        <w:rPr>
          <w:rStyle w:val="FootnoteReference"/>
          <w:rFonts w:ascii="Lato" w:eastAsia="Times New Roman" w:hAnsi="Lato" w:cs="Times New Roman"/>
          <w:sz w:val="20"/>
          <w:szCs w:val="20"/>
        </w:rPr>
        <w:footnoteReference w:id="32"/>
      </w:r>
      <w:r w:rsidR="006F1E7D" w:rsidRPr="00F801B4">
        <w:rPr>
          <w:rFonts w:ascii="Lato" w:eastAsia="Times New Roman" w:hAnsi="Lato" w:cs="Times New Roman"/>
          <w:sz w:val="20"/>
          <w:szCs w:val="20"/>
          <w:bdr w:val="none" w:sz="0" w:space="0" w:color="auto" w:frame="1"/>
        </w:rPr>
        <w:t xml:space="preserve"> </w:t>
      </w:r>
      <w:r w:rsidR="006127ED" w:rsidRPr="00F801B4">
        <w:rPr>
          <w:rFonts w:ascii="Lato" w:eastAsia="Times New Roman" w:hAnsi="Lato" w:cs="Times New Roman"/>
          <w:sz w:val="20"/>
          <w:szCs w:val="20"/>
          <w:bdr w:val="none" w:sz="0" w:space="0" w:color="auto" w:frame="1"/>
        </w:rPr>
        <w:t>In a similar manner, F</w:t>
      </w:r>
      <w:r w:rsidR="00042864" w:rsidRPr="00F801B4">
        <w:rPr>
          <w:rFonts w:ascii="Lato" w:eastAsia="Times New Roman" w:hAnsi="Lato" w:cs="Times New Roman"/>
          <w:sz w:val="20"/>
          <w:szCs w:val="20"/>
          <w:bdr w:val="none" w:sz="0" w:space="0" w:color="auto" w:frame="1"/>
        </w:rPr>
        <w:t>HFA could provide m</w:t>
      </w:r>
      <w:r w:rsidR="00386E34" w:rsidRPr="00F801B4">
        <w:rPr>
          <w:rFonts w:ascii="Lato" w:eastAsia="Times New Roman" w:hAnsi="Lato" w:cs="Times New Roman"/>
          <w:sz w:val="20"/>
          <w:szCs w:val="20"/>
          <w:bdr w:val="none" w:sz="0" w:space="0" w:color="auto" w:frame="1"/>
        </w:rPr>
        <w:t xml:space="preserve">ore transparency around LLPAs </w:t>
      </w:r>
      <w:r w:rsidR="00042864" w:rsidRPr="00F801B4">
        <w:rPr>
          <w:rFonts w:ascii="Lato" w:eastAsia="Times New Roman" w:hAnsi="Lato" w:cs="Times New Roman"/>
          <w:sz w:val="20"/>
          <w:szCs w:val="20"/>
          <w:bdr w:val="none" w:sz="0" w:space="0" w:color="auto" w:frame="1"/>
        </w:rPr>
        <w:t>b</w:t>
      </w:r>
      <w:r w:rsidR="00386E34" w:rsidRPr="00F801B4">
        <w:rPr>
          <w:rFonts w:ascii="Lato" w:eastAsia="Times New Roman" w:hAnsi="Lato" w:cs="Times New Roman"/>
          <w:sz w:val="20"/>
          <w:szCs w:val="20"/>
        </w:rPr>
        <w:t xml:space="preserve">y releasing more data on whether LLPAs contribute to racial disparities in mortgage purchases by the Enterprises.  </w:t>
      </w:r>
      <w:r w:rsidRPr="00F801B4">
        <w:rPr>
          <w:rFonts w:ascii="Lato" w:eastAsia="Times New Roman" w:hAnsi="Lato" w:cs="Times New Roman"/>
          <w:sz w:val="20"/>
          <w:szCs w:val="20"/>
        </w:rPr>
        <w:t xml:space="preserve">Additionally, the </w:t>
      </w:r>
      <w:r w:rsidR="009315E9" w:rsidRPr="00F801B4">
        <w:rPr>
          <w:rFonts w:ascii="Lato" w:hAnsi="Lato" w:cs="Times New Roman"/>
          <w:sz w:val="20"/>
          <w:szCs w:val="20"/>
        </w:rPr>
        <w:t xml:space="preserve">FHFA can build upon the generation of </w:t>
      </w:r>
      <w:r w:rsidR="00AA5F51" w:rsidRPr="00F801B4">
        <w:rPr>
          <w:rFonts w:ascii="Lato" w:hAnsi="Lato" w:cs="Times New Roman"/>
          <w:sz w:val="20"/>
          <w:szCs w:val="20"/>
        </w:rPr>
        <w:t>Duty to Serve</w:t>
      </w:r>
      <w:r w:rsidR="006F1E7D" w:rsidRPr="00F801B4">
        <w:rPr>
          <w:rFonts w:ascii="Lato" w:hAnsi="Lato" w:cs="Times New Roman"/>
          <w:sz w:val="20"/>
          <w:szCs w:val="20"/>
        </w:rPr>
        <w:t xml:space="preserve"> </w:t>
      </w:r>
      <w:r w:rsidR="009315E9" w:rsidRPr="00F801B4">
        <w:rPr>
          <w:rFonts w:ascii="Lato" w:hAnsi="Lato" w:cs="Times New Roman"/>
          <w:sz w:val="20"/>
          <w:szCs w:val="20"/>
        </w:rPr>
        <w:t>public</w:t>
      </w:r>
      <w:r w:rsidR="003168BA" w:rsidRPr="00F801B4">
        <w:rPr>
          <w:rFonts w:ascii="Lato" w:hAnsi="Lato" w:cs="Times New Roman"/>
          <w:sz w:val="20"/>
          <w:szCs w:val="20"/>
        </w:rPr>
        <w:t xml:space="preserve"> data,</w:t>
      </w:r>
      <w:r w:rsidR="009315E9" w:rsidRPr="00F801B4">
        <w:rPr>
          <w:rFonts w:ascii="Lato" w:hAnsi="Lato" w:cs="Times New Roman"/>
          <w:sz w:val="20"/>
          <w:szCs w:val="20"/>
        </w:rPr>
        <w:t xml:space="preserve"> tools, and mapping applications to illuminate </w:t>
      </w:r>
      <w:r w:rsidR="00A4747E" w:rsidRPr="00F801B4">
        <w:rPr>
          <w:rFonts w:ascii="Lato" w:hAnsi="Lato" w:cs="Times New Roman"/>
          <w:sz w:val="20"/>
          <w:szCs w:val="20"/>
        </w:rPr>
        <w:t>gaps in equity, progress in closing those gaps, and</w:t>
      </w:r>
      <w:r w:rsidR="009315E9" w:rsidRPr="00F801B4">
        <w:rPr>
          <w:rFonts w:ascii="Lato" w:hAnsi="Lato" w:cs="Times New Roman"/>
          <w:sz w:val="20"/>
          <w:szCs w:val="20"/>
        </w:rPr>
        <w:t xml:space="preserve"> the extent of Enterprise activities and progress over time</w:t>
      </w:r>
      <w:r w:rsidR="003168BA" w:rsidRPr="00F801B4">
        <w:rPr>
          <w:rFonts w:ascii="Lato" w:hAnsi="Lato" w:cs="Times New Roman"/>
          <w:sz w:val="20"/>
          <w:szCs w:val="20"/>
        </w:rPr>
        <w:t>.</w:t>
      </w:r>
      <w:r w:rsidR="003168BA" w:rsidRPr="00F801B4">
        <w:rPr>
          <w:rStyle w:val="FootnoteReference"/>
          <w:rFonts w:ascii="Lato" w:hAnsi="Lato" w:cs="Times New Roman"/>
          <w:sz w:val="20"/>
          <w:szCs w:val="20"/>
        </w:rPr>
        <w:footnoteReference w:id="33"/>
      </w:r>
      <w:r w:rsidR="007601C1" w:rsidRPr="00F801B4">
        <w:rPr>
          <w:rFonts w:ascii="Lato" w:eastAsia="Times New Roman" w:hAnsi="Lato" w:cs="Times New Roman"/>
          <w:sz w:val="20"/>
          <w:szCs w:val="20"/>
          <w:bdr w:val="none" w:sz="0" w:space="0" w:color="auto" w:frame="1"/>
        </w:rPr>
        <w:t xml:space="preserve"> </w:t>
      </w:r>
      <w:r w:rsidRPr="00F801B4">
        <w:rPr>
          <w:rFonts w:ascii="Lato" w:hAnsi="Lato" w:cs="Times New Roman"/>
          <w:sz w:val="20"/>
          <w:szCs w:val="20"/>
        </w:rPr>
        <w:t xml:space="preserve">Further, the </w:t>
      </w:r>
      <w:r w:rsidR="00581EA5" w:rsidRPr="00F801B4">
        <w:rPr>
          <w:rFonts w:ascii="Lato" w:hAnsi="Lato" w:cs="Times New Roman"/>
          <w:sz w:val="20"/>
          <w:szCs w:val="20"/>
        </w:rPr>
        <w:t>FHFA and the Enterprises can invest in developing</w:t>
      </w:r>
      <w:r w:rsidR="00386E34" w:rsidRPr="00F801B4">
        <w:rPr>
          <w:rFonts w:ascii="Lato" w:hAnsi="Lato" w:cs="Times New Roman"/>
          <w:sz w:val="20"/>
          <w:szCs w:val="20"/>
        </w:rPr>
        <w:t xml:space="preserve"> new data </w:t>
      </w:r>
      <w:r w:rsidR="00581EA5" w:rsidRPr="00F801B4">
        <w:rPr>
          <w:rFonts w:ascii="Lato" w:hAnsi="Lato" w:cs="Times New Roman"/>
          <w:sz w:val="20"/>
          <w:szCs w:val="20"/>
        </w:rPr>
        <w:t>collection tools</w:t>
      </w:r>
      <w:r w:rsidR="00AA5F51" w:rsidRPr="00F801B4">
        <w:rPr>
          <w:rFonts w:ascii="Lato" w:hAnsi="Lato" w:cs="Times New Roman"/>
          <w:sz w:val="20"/>
          <w:szCs w:val="20"/>
        </w:rPr>
        <w:t>,</w:t>
      </w:r>
      <w:r w:rsidR="00386E34" w:rsidRPr="00F801B4">
        <w:rPr>
          <w:rFonts w:ascii="Lato" w:hAnsi="Lato" w:cs="Times New Roman"/>
          <w:sz w:val="20"/>
          <w:szCs w:val="20"/>
        </w:rPr>
        <w:t xml:space="preserve"> as </w:t>
      </w:r>
      <w:r w:rsidR="00AA5F51" w:rsidRPr="00F801B4">
        <w:rPr>
          <w:rFonts w:ascii="Lato" w:hAnsi="Lato" w:cs="Times New Roman"/>
          <w:sz w:val="20"/>
          <w:szCs w:val="20"/>
        </w:rPr>
        <w:t xml:space="preserve">they have </w:t>
      </w:r>
      <w:r w:rsidR="00581EA5" w:rsidRPr="00F801B4">
        <w:rPr>
          <w:rFonts w:ascii="Lato" w:hAnsi="Lato" w:cs="Times New Roman"/>
          <w:sz w:val="20"/>
          <w:szCs w:val="20"/>
        </w:rPr>
        <w:t xml:space="preserve">done </w:t>
      </w:r>
      <w:r w:rsidR="00AA5F51" w:rsidRPr="00F801B4">
        <w:rPr>
          <w:rFonts w:ascii="Lato" w:hAnsi="Lato" w:cs="Times New Roman"/>
          <w:sz w:val="20"/>
          <w:szCs w:val="20"/>
        </w:rPr>
        <w:t>before</w:t>
      </w:r>
      <w:r w:rsidR="00386E34" w:rsidRPr="00F801B4">
        <w:rPr>
          <w:rFonts w:ascii="Lato" w:hAnsi="Lato" w:cs="Times New Roman"/>
          <w:sz w:val="20"/>
          <w:szCs w:val="20"/>
        </w:rPr>
        <w:t xml:space="preserve"> with the National Mortgage Database and the </w:t>
      </w:r>
      <w:r w:rsidRPr="00F801B4">
        <w:rPr>
          <w:rFonts w:ascii="Lato" w:hAnsi="Lato" w:cs="Times New Roman"/>
          <w:sz w:val="20"/>
          <w:szCs w:val="20"/>
        </w:rPr>
        <w:t>ap</w:t>
      </w:r>
      <w:r w:rsidR="00386E34" w:rsidRPr="00F801B4">
        <w:rPr>
          <w:rFonts w:ascii="Lato" w:hAnsi="Lato" w:cs="Times New Roman"/>
          <w:sz w:val="20"/>
          <w:szCs w:val="20"/>
        </w:rPr>
        <w:t>praisal data collection portal.</w:t>
      </w:r>
      <w:r w:rsidR="009315E9" w:rsidRPr="00F801B4">
        <w:rPr>
          <w:rStyle w:val="FootnoteReference"/>
          <w:rFonts w:ascii="Lato" w:hAnsi="Lato" w:cs="Times New Roman"/>
          <w:sz w:val="20"/>
          <w:szCs w:val="20"/>
        </w:rPr>
        <w:footnoteReference w:id="34"/>
      </w:r>
      <w:r w:rsidR="00386E34" w:rsidRPr="00F801B4">
        <w:rPr>
          <w:rFonts w:ascii="Lato" w:hAnsi="Lato" w:cs="Times New Roman"/>
          <w:sz w:val="20"/>
          <w:szCs w:val="20"/>
        </w:rPr>
        <w:t xml:space="preserve"> </w:t>
      </w:r>
    </w:p>
    <w:p w14:paraId="06356F17" w14:textId="4C663D89" w:rsidR="00760537" w:rsidRPr="00F801B4" w:rsidRDefault="007601C1" w:rsidP="00F801B4">
      <w:pPr>
        <w:spacing w:line="240" w:lineRule="auto"/>
        <w:rPr>
          <w:rFonts w:ascii="Lato" w:hAnsi="Lato" w:cs="Times New Roman"/>
          <w:b/>
          <w:bCs/>
          <w:i/>
          <w:iCs/>
          <w:sz w:val="20"/>
          <w:szCs w:val="20"/>
        </w:rPr>
      </w:pPr>
      <w:r w:rsidRPr="00F801B4">
        <w:rPr>
          <w:rFonts w:ascii="Lato" w:eastAsia="Times New Roman" w:hAnsi="Lato" w:cs="Times New Roman"/>
          <w:sz w:val="20"/>
          <w:szCs w:val="20"/>
          <w:bdr w:val="none" w:sz="0" w:space="0" w:color="auto" w:frame="1"/>
        </w:rPr>
        <w:t xml:space="preserve">These are just a few examples of the power of the Enterprises and FHFA to collect information and inform </w:t>
      </w:r>
      <w:r w:rsidR="00581EA5" w:rsidRPr="00F801B4">
        <w:rPr>
          <w:rFonts w:ascii="Lato" w:eastAsia="Times New Roman" w:hAnsi="Lato" w:cs="Times New Roman"/>
          <w:sz w:val="20"/>
          <w:szCs w:val="20"/>
          <w:bdr w:val="none" w:sz="0" w:space="0" w:color="auto" w:frame="1"/>
        </w:rPr>
        <w:t>the many stakeholders in the housing finance system</w:t>
      </w:r>
      <w:r w:rsidRPr="00F801B4">
        <w:rPr>
          <w:rFonts w:ascii="Lato" w:eastAsia="Times New Roman" w:hAnsi="Lato" w:cs="Times New Roman"/>
          <w:sz w:val="20"/>
          <w:szCs w:val="20"/>
          <w:bdr w:val="none" w:sz="0" w:space="0" w:color="auto" w:frame="1"/>
        </w:rPr>
        <w:t xml:space="preserve">. The more public transparency is enabled, the more that power can be put to good. </w:t>
      </w:r>
      <w:r w:rsidR="00760537" w:rsidRPr="00F801B4">
        <w:rPr>
          <w:rFonts w:ascii="Lato" w:eastAsia="Times New Roman" w:hAnsi="Lato" w:cs="Times New Roman"/>
          <w:sz w:val="20"/>
          <w:szCs w:val="20"/>
          <w:bdr w:val="none" w:sz="0" w:space="0" w:color="auto" w:frame="1"/>
        </w:rPr>
        <w:t xml:space="preserve">To that end, </w:t>
      </w:r>
      <w:r w:rsidR="00760537" w:rsidRPr="00F801B4">
        <w:rPr>
          <w:rFonts w:ascii="Lato" w:hAnsi="Lato" w:cs="Times New Roman"/>
          <w:sz w:val="20"/>
          <w:szCs w:val="20"/>
        </w:rPr>
        <w:t>FHFA should consider encouraging the Enterprises to develop an equity finance-focused public use database that would enable the research and advocacy community to identify and mobilize around equity-related issues much more rapidly than is possible today. To understand the value of such a database, consider</w:t>
      </w:r>
      <w:r w:rsidR="00760537" w:rsidRPr="00F801B4">
        <w:rPr>
          <w:rFonts w:ascii="Lato" w:hAnsi="Lato" w:cs="Times New Roman"/>
          <w:b/>
          <w:bCs/>
          <w:i/>
          <w:iCs/>
          <w:sz w:val="20"/>
          <w:szCs w:val="20"/>
        </w:rPr>
        <w:t xml:space="preserve"> </w:t>
      </w:r>
      <w:hyperlink r:id="rId9" w:history="1">
        <w:r w:rsidR="00760537" w:rsidRPr="00F801B4">
          <w:rPr>
            <w:rStyle w:val="Hyperlink"/>
            <w:rFonts w:ascii="Lato" w:hAnsi="Lato" w:cs="Times New Roman"/>
            <w:color w:val="auto"/>
            <w:sz w:val="20"/>
            <w:szCs w:val="20"/>
            <w:u w:val="none"/>
          </w:rPr>
          <w:t>Freddie Mac’s</w:t>
        </w:r>
      </w:hyperlink>
      <w:r w:rsidR="00760537" w:rsidRPr="00F801B4">
        <w:rPr>
          <w:rFonts w:ascii="Lato" w:hAnsi="Lato" w:cs="Times New Roman"/>
          <w:sz w:val="20"/>
          <w:szCs w:val="20"/>
        </w:rPr>
        <w:t xml:space="preserve"> recent sophisticated analysis using its treasure trove of proprietary</w:t>
      </w:r>
      <w:r w:rsidR="00386E34" w:rsidRPr="00F801B4">
        <w:rPr>
          <w:rFonts w:ascii="Lato" w:hAnsi="Lato" w:cs="Times New Roman"/>
          <w:sz w:val="20"/>
          <w:szCs w:val="20"/>
        </w:rPr>
        <w:t xml:space="preserve"> </w:t>
      </w:r>
      <w:r w:rsidR="00760537" w:rsidRPr="00F801B4">
        <w:rPr>
          <w:rFonts w:ascii="Lato" w:hAnsi="Lato" w:cs="Times New Roman"/>
          <w:sz w:val="20"/>
          <w:szCs w:val="20"/>
        </w:rPr>
        <w:t>data t</w:t>
      </w:r>
      <w:r w:rsidR="00386E34" w:rsidRPr="00F801B4">
        <w:rPr>
          <w:rFonts w:ascii="Lato" w:hAnsi="Lato" w:cs="Times New Roman"/>
          <w:sz w:val="20"/>
          <w:szCs w:val="20"/>
        </w:rPr>
        <w:t>o expose widespread race-based bias in appraisals.</w:t>
      </w:r>
      <w:r w:rsidR="00760537" w:rsidRPr="00F801B4">
        <w:rPr>
          <w:rStyle w:val="FootnoteReference"/>
          <w:rFonts w:ascii="Lato" w:hAnsi="Lato" w:cs="Times New Roman"/>
          <w:sz w:val="20"/>
          <w:szCs w:val="20"/>
        </w:rPr>
        <w:footnoteReference w:id="35"/>
      </w:r>
      <w:r w:rsidR="00386E34" w:rsidRPr="00F801B4">
        <w:rPr>
          <w:rFonts w:ascii="Lato" w:hAnsi="Lato" w:cs="Times New Roman"/>
          <w:sz w:val="20"/>
          <w:szCs w:val="20"/>
        </w:rPr>
        <w:t xml:space="preserve"> The study</w:t>
      </w:r>
      <w:r w:rsidR="00760537" w:rsidRPr="00F801B4">
        <w:rPr>
          <w:rFonts w:ascii="Lato" w:hAnsi="Lato" w:cs="Times New Roman"/>
          <w:sz w:val="20"/>
          <w:szCs w:val="20"/>
        </w:rPr>
        <w:t xml:space="preserve"> confirmed substantial valuation gaps for minority versus </w:t>
      </w:r>
      <w:r w:rsidR="00581EA5" w:rsidRPr="00F801B4">
        <w:rPr>
          <w:rFonts w:ascii="Lato" w:hAnsi="Lato" w:cs="Times New Roman"/>
          <w:sz w:val="20"/>
          <w:szCs w:val="20"/>
        </w:rPr>
        <w:t>w</w:t>
      </w:r>
      <w:r w:rsidR="00760537" w:rsidRPr="00F801B4">
        <w:rPr>
          <w:rFonts w:ascii="Lato" w:hAnsi="Lato" w:cs="Times New Roman"/>
          <w:sz w:val="20"/>
          <w:szCs w:val="20"/>
        </w:rPr>
        <w:t>hite census tracts and that minority applicants are more likely to receive an appraisal value lower than the contract price. Additionally, the research rejects the proposition that the valuation gaps are driven by only a few appraisers. Findings like these are the sorts of equity-related issues that need to be identified and resolved</w:t>
      </w:r>
      <w:r w:rsidR="00581EA5" w:rsidRPr="00F801B4">
        <w:rPr>
          <w:rFonts w:ascii="Lato" w:hAnsi="Lato" w:cs="Times New Roman"/>
          <w:sz w:val="20"/>
          <w:szCs w:val="20"/>
        </w:rPr>
        <w:t xml:space="preserve"> by coordination with other actors</w:t>
      </w:r>
      <w:r w:rsidR="00760537" w:rsidRPr="00F801B4">
        <w:rPr>
          <w:rFonts w:ascii="Lato" w:hAnsi="Lato" w:cs="Times New Roman"/>
          <w:sz w:val="20"/>
          <w:szCs w:val="20"/>
        </w:rPr>
        <w:t xml:space="preserve">, and can only be made known through a greater availability of public data. </w:t>
      </w:r>
    </w:p>
    <w:p w14:paraId="606647E1" w14:textId="77E05C8A" w:rsidR="00EA1BDE" w:rsidRPr="003027C5" w:rsidRDefault="008A54AB" w:rsidP="00F801B4">
      <w:pPr>
        <w:shd w:val="clear" w:color="auto" w:fill="FFFFFF"/>
        <w:spacing w:line="240" w:lineRule="auto"/>
        <w:outlineLvl w:val="0"/>
        <w:rPr>
          <w:rFonts w:ascii="Lato" w:hAnsi="Lato" w:cs="Times New Roman"/>
          <w:sz w:val="20"/>
          <w:szCs w:val="20"/>
        </w:rPr>
      </w:pPr>
      <w:r w:rsidRPr="003027C5">
        <w:rPr>
          <w:rFonts w:ascii="Lato" w:hAnsi="Lato" w:cs="Times New Roman"/>
          <w:b/>
          <w:i/>
          <w:sz w:val="20"/>
          <w:szCs w:val="20"/>
        </w:rPr>
        <w:lastRenderedPageBreak/>
        <w:t xml:space="preserve">(d) </w:t>
      </w:r>
      <w:r w:rsidR="00EA1BDE" w:rsidRPr="003027C5">
        <w:rPr>
          <w:rFonts w:ascii="Lato" w:hAnsi="Lato" w:cs="Times New Roman"/>
          <w:b/>
          <w:i/>
          <w:sz w:val="20"/>
          <w:szCs w:val="20"/>
          <w:u w:val="single"/>
        </w:rPr>
        <w:t>Link EHF planning progress to executive compensation.</w:t>
      </w:r>
      <w:r w:rsidR="00BE1335" w:rsidRPr="003027C5">
        <w:rPr>
          <w:rFonts w:ascii="Lato" w:hAnsi="Lato" w:cs="Times New Roman"/>
          <w:b/>
          <w:bCs/>
          <w:i/>
          <w:iCs/>
          <w:sz w:val="20"/>
          <w:szCs w:val="20"/>
        </w:rPr>
        <w:t xml:space="preserve"> </w:t>
      </w:r>
      <w:r w:rsidR="00EA1BDE" w:rsidRPr="003027C5">
        <w:rPr>
          <w:rFonts w:ascii="Lato" w:hAnsi="Lato" w:cs="Times New Roman"/>
          <w:sz w:val="20"/>
          <w:szCs w:val="20"/>
        </w:rPr>
        <w:t xml:space="preserve">In the first year of their EHFPs, FHFA has directed the Enterprises to identify objectives and specific measurable goals and take meaningful actions to reduce the racial/ ethnic homeownership gap and underinvestment or undervaluation in formerly redlined areas. To underscore the importance of this mandate, and to hold the companies accountable for putting equity first in their business plans, FHFA should link executive compensation to meeting these obligations. The vehicle for doing so already exists in the form of the annual </w:t>
      </w:r>
      <w:r w:rsidR="00EA1BDE" w:rsidRPr="00E64990">
        <w:rPr>
          <w:rFonts w:ascii="Lato" w:hAnsi="Lato" w:cs="Times New Roman"/>
          <w:sz w:val="20"/>
          <w:szCs w:val="20"/>
          <w:bdr w:val="none" w:sz="0" w:space="0" w:color="auto" w:frame="1"/>
          <w:shd w:val="clear" w:color="auto" w:fill="FFFFFF"/>
        </w:rPr>
        <w:t>Scorecard</w:t>
      </w:r>
      <w:r w:rsidR="00EA1BDE" w:rsidRPr="003027C5">
        <w:rPr>
          <w:rFonts w:ascii="Lato" w:hAnsi="Lato" w:cs="Times New Roman"/>
          <w:sz w:val="20"/>
          <w:szCs w:val="20"/>
        </w:rPr>
        <w:t>.</w:t>
      </w:r>
      <w:r w:rsidR="00EA1BDE" w:rsidRPr="003027C5">
        <w:rPr>
          <w:rStyle w:val="FootnoteReference"/>
          <w:rFonts w:ascii="Lato" w:hAnsi="Lato" w:cs="Times New Roman"/>
          <w:sz w:val="20"/>
          <w:szCs w:val="20"/>
        </w:rPr>
        <w:footnoteReference w:id="36"/>
      </w:r>
      <w:r w:rsidR="00EA1BDE" w:rsidRPr="003027C5">
        <w:rPr>
          <w:rFonts w:ascii="Lato" w:hAnsi="Lato" w:cs="Times New Roman"/>
          <w:sz w:val="20"/>
          <w:szCs w:val="20"/>
        </w:rPr>
        <w:t xml:space="preserve"> Put in place beginning in 2012, FHFA ties the </w:t>
      </w:r>
      <w:r w:rsidR="00EA1BDE" w:rsidRPr="00E64990">
        <w:rPr>
          <w:rFonts w:ascii="Lato" w:hAnsi="Lato" w:cs="Times New Roman"/>
          <w:sz w:val="20"/>
          <w:szCs w:val="20"/>
        </w:rPr>
        <w:t>incentive-based portion</w:t>
      </w:r>
      <w:r w:rsidR="00EA1BDE" w:rsidRPr="003027C5">
        <w:rPr>
          <w:rFonts w:ascii="Lato" w:hAnsi="Lato" w:cs="Times New Roman"/>
          <w:sz w:val="20"/>
          <w:szCs w:val="20"/>
        </w:rPr>
        <w:t xml:space="preserve"> of the compensation of Fannie Mae’s and Freddie Mac’s senior executives to meeting FHFA’s strategic priorities for the conservatorships.</w:t>
      </w:r>
      <w:r w:rsidR="00EA1BDE" w:rsidRPr="003027C5">
        <w:rPr>
          <w:rStyle w:val="FootnoteReference"/>
          <w:rFonts w:ascii="Lato" w:hAnsi="Lato" w:cs="Times New Roman"/>
          <w:sz w:val="20"/>
          <w:szCs w:val="20"/>
        </w:rPr>
        <w:footnoteReference w:id="37"/>
      </w:r>
      <w:r w:rsidR="00EA1BDE" w:rsidRPr="003027C5">
        <w:rPr>
          <w:rFonts w:ascii="Lato" w:hAnsi="Lato" w:cs="Times New Roman"/>
          <w:sz w:val="20"/>
          <w:szCs w:val="20"/>
        </w:rPr>
        <w:t xml:space="preserve"> By making steady progress toward meeting their respective housing finance equity goals a standing element of forthcoming scorecards, FHFA can ensure continued executive attention to putting equity first. </w:t>
      </w:r>
    </w:p>
    <w:p w14:paraId="1BD196F7" w14:textId="21F166C6" w:rsidR="001324BB" w:rsidRPr="003027C5" w:rsidRDefault="007231DA" w:rsidP="00F801B4">
      <w:pPr>
        <w:shd w:val="clear" w:color="auto" w:fill="FFFFFF"/>
        <w:spacing w:line="240" w:lineRule="auto"/>
        <w:outlineLvl w:val="0"/>
        <w:rPr>
          <w:rFonts w:ascii="Lato" w:hAnsi="Lato" w:cs="Times New Roman"/>
          <w:color w:val="000000" w:themeColor="text1"/>
          <w:sz w:val="20"/>
          <w:szCs w:val="20"/>
        </w:rPr>
      </w:pPr>
      <w:r>
        <w:rPr>
          <w:rFonts w:ascii="Lato" w:hAnsi="Lato" w:cs="Times New Roman"/>
          <w:b/>
          <w:i/>
          <w:sz w:val="20"/>
          <w:szCs w:val="20"/>
        </w:rPr>
        <w:t xml:space="preserve">(e) </w:t>
      </w:r>
      <w:r w:rsidR="00581EA5" w:rsidRPr="007231DA">
        <w:rPr>
          <w:rFonts w:ascii="Lato" w:hAnsi="Lato" w:cs="Times New Roman"/>
          <w:b/>
          <w:i/>
          <w:sz w:val="20"/>
          <w:szCs w:val="20"/>
          <w:u w:val="single"/>
        </w:rPr>
        <w:t>Lead and coordinate across the housing finance system</w:t>
      </w:r>
      <w:r w:rsidR="00BE1335" w:rsidRPr="003027C5">
        <w:rPr>
          <w:rFonts w:ascii="Lato" w:hAnsi="Lato" w:cs="Times New Roman"/>
          <w:b/>
          <w:i/>
          <w:sz w:val="20"/>
          <w:szCs w:val="20"/>
        </w:rPr>
        <w:t>.</w:t>
      </w:r>
      <w:r w:rsidR="00BE1335" w:rsidRPr="003027C5">
        <w:rPr>
          <w:rFonts w:ascii="Lato" w:hAnsi="Lato" w:cs="Times New Roman"/>
          <w:color w:val="000000" w:themeColor="text1"/>
          <w:sz w:val="20"/>
          <w:szCs w:val="20"/>
        </w:rPr>
        <w:t xml:space="preserve"> </w:t>
      </w:r>
      <w:r w:rsidR="001324BB" w:rsidRPr="003027C5">
        <w:rPr>
          <w:rFonts w:ascii="Lato" w:hAnsi="Lato" w:cs="Times New Roman"/>
          <w:color w:val="000000" w:themeColor="text1"/>
          <w:sz w:val="20"/>
          <w:szCs w:val="20"/>
        </w:rPr>
        <w:t>Equitable housing finance issues are not limited to the Enterprises</w:t>
      </w:r>
      <w:r w:rsidR="00BE1335" w:rsidRPr="003027C5">
        <w:rPr>
          <w:rFonts w:ascii="Lato" w:hAnsi="Lato" w:cs="Times New Roman"/>
          <w:color w:val="000000" w:themeColor="text1"/>
          <w:sz w:val="20"/>
          <w:szCs w:val="20"/>
        </w:rPr>
        <w:t>. Rather, a</w:t>
      </w:r>
      <w:r w:rsidR="001324BB" w:rsidRPr="003027C5">
        <w:rPr>
          <w:rFonts w:ascii="Lato" w:hAnsi="Lato" w:cs="Times New Roman"/>
          <w:color w:val="000000" w:themeColor="text1"/>
          <w:sz w:val="20"/>
          <w:szCs w:val="20"/>
        </w:rPr>
        <w:t xml:space="preserve">ctions taken by FHFA reverberate throughout the market. </w:t>
      </w:r>
      <w:r w:rsidR="00581EA5" w:rsidRPr="003027C5">
        <w:rPr>
          <w:rFonts w:ascii="Lato" w:hAnsi="Lato" w:cs="Times New Roman"/>
          <w:color w:val="000000" w:themeColor="text1"/>
          <w:sz w:val="20"/>
          <w:szCs w:val="20"/>
        </w:rPr>
        <w:t>The Enterprises can leverage their central role to coordinate across government</w:t>
      </w:r>
      <w:r w:rsidR="0036027B">
        <w:rPr>
          <w:rFonts w:ascii="Lato" w:hAnsi="Lato" w:cs="Times New Roman"/>
          <w:color w:val="000000" w:themeColor="text1"/>
          <w:sz w:val="20"/>
          <w:szCs w:val="20"/>
        </w:rPr>
        <w:t>, including state and local housing finance agencies,</w:t>
      </w:r>
      <w:r w:rsidR="00581EA5" w:rsidRPr="003027C5">
        <w:rPr>
          <w:rFonts w:ascii="Lato" w:hAnsi="Lato" w:cs="Times New Roman"/>
          <w:color w:val="000000" w:themeColor="text1"/>
          <w:sz w:val="20"/>
          <w:szCs w:val="20"/>
        </w:rPr>
        <w:t xml:space="preserve"> and private stakeholders.</w:t>
      </w:r>
    </w:p>
    <w:p w14:paraId="5B808B6B" w14:textId="77777777" w:rsidR="00581EA5" w:rsidRPr="003027C5" w:rsidRDefault="00581EA5" w:rsidP="00F801B4">
      <w:pPr>
        <w:spacing w:line="240" w:lineRule="auto"/>
        <w:rPr>
          <w:rFonts w:ascii="Lato" w:hAnsi="Lato" w:cs="Times New Roman"/>
          <w:color w:val="000000" w:themeColor="text1"/>
          <w:sz w:val="20"/>
          <w:szCs w:val="20"/>
        </w:rPr>
      </w:pPr>
      <w:r w:rsidRPr="003027C5">
        <w:rPr>
          <w:rFonts w:ascii="Lato" w:hAnsi="Lato" w:cs="Times New Roman"/>
          <w:color w:val="000000" w:themeColor="text1"/>
          <w:sz w:val="20"/>
          <w:szCs w:val="20"/>
        </w:rPr>
        <w:t xml:space="preserve">To truly move the needle on the objectives, the Enterprises’ equitable finance planning processes require coordination across government agencies whose jurisdictions touch upon mortgage finance. Fortunately, Congress created such a coordinating vehicle, the Federal Housing Finance Oversight Board (FHFOB).  Created by statute to advise the Director with respect to overall strategies and policies in carrying out the duties of the Director, the FHFOB is Chaired by the Director, and counts as its members the Secretary of HUD, the Chairman of the Securities and Exchange Commission, and the Chairman of the Commodities Futures Trading Commission. As the FHFA and the Enterprises contemplate how best to move forward with addressing the long and unrelenting practice of discrimination in housing finance, we strongly recommend involving the FHFOB, a tool that is at once seriously underused and also perfectly positioned to bring together important stakeholders. By improving transparency, communication and collaboration between agencies, the FHFA can strengthen the government’s commitment to righting historic wrongs and more fully capture the significant macroeconomic benefits of an equitable housing finance system.  </w:t>
      </w:r>
    </w:p>
    <w:p w14:paraId="7E79ACAC" w14:textId="1812299B" w:rsidR="009315E9" w:rsidRPr="003027C5" w:rsidRDefault="00BE1335" w:rsidP="00F801B4">
      <w:pPr>
        <w:spacing w:line="240" w:lineRule="auto"/>
        <w:rPr>
          <w:rFonts w:ascii="Lato" w:hAnsi="Lato" w:cs="Times New Roman"/>
          <w:sz w:val="20"/>
          <w:szCs w:val="20"/>
          <w:shd w:val="clear" w:color="auto" w:fill="FFFFFF"/>
        </w:rPr>
      </w:pPr>
      <w:r w:rsidRPr="003027C5">
        <w:rPr>
          <w:rFonts w:ascii="Lato" w:hAnsi="Lato" w:cs="Times New Roman"/>
          <w:sz w:val="20"/>
          <w:szCs w:val="20"/>
        </w:rPr>
        <w:t>In addition to coordinating across government agencies,</w:t>
      </w:r>
      <w:r w:rsidR="009315E9" w:rsidRPr="003027C5">
        <w:rPr>
          <w:rFonts w:ascii="Lato" w:hAnsi="Lato" w:cs="Times New Roman"/>
          <w:b/>
          <w:i/>
          <w:sz w:val="20"/>
          <w:szCs w:val="20"/>
        </w:rPr>
        <w:t xml:space="preserve"> </w:t>
      </w:r>
      <w:r w:rsidRPr="003027C5">
        <w:rPr>
          <w:rFonts w:ascii="Lato" w:hAnsi="Lato" w:cs="Times New Roman"/>
          <w:sz w:val="20"/>
          <w:szCs w:val="20"/>
        </w:rPr>
        <w:t>t</w:t>
      </w:r>
      <w:r w:rsidR="009315E9" w:rsidRPr="003027C5">
        <w:rPr>
          <w:rFonts w:ascii="Lato" w:hAnsi="Lato" w:cs="Times New Roman"/>
          <w:sz w:val="20"/>
          <w:szCs w:val="20"/>
        </w:rPr>
        <w:t>he FHFA should consider creating a more active public/private dialogue that contributes to the development of EHF</w:t>
      </w:r>
      <w:r w:rsidR="00AA5F51" w:rsidRPr="003027C5">
        <w:rPr>
          <w:rFonts w:ascii="Lato" w:hAnsi="Lato" w:cs="Times New Roman"/>
          <w:sz w:val="20"/>
          <w:szCs w:val="20"/>
        </w:rPr>
        <w:t xml:space="preserve">Ps and </w:t>
      </w:r>
      <w:r w:rsidR="009315E9" w:rsidRPr="003027C5">
        <w:rPr>
          <w:rFonts w:ascii="Lato" w:hAnsi="Lato" w:cs="Times New Roman"/>
          <w:sz w:val="20"/>
          <w:szCs w:val="20"/>
        </w:rPr>
        <w:t>facilitate</w:t>
      </w:r>
      <w:r w:rsidR="00AA5F51" w:rsidRPr="003027C5">
        <w:rPr>
          <w:rFonts w:ascii="Lato" w:hAnsi="Lato" w:cs="Times New Roman"/>
          <w:sz w:val="20"/>
          <w:szCs w:val="20"/>
        </w:rPr>
        <w:t>s</w:t>
      </w:r>
      <w:r w:rsidR="009315E9" w:rsidRPr="003027C5">
        <w:rPr>
          <w:rFonts w:ascii="Lato" w:hAnsi="Lato" w:cs="Times New Roman"/>
          <w:sz w:val="20"/>
          <w:szCs w:val="20"/>
        </w:rPr>
        <w:t xml:space="preserve"> the</w:t>
      </w:r>
      <w:r w:rsidR="00AA5F51" w:rsidRPr="003027C5">
        <w:rPr>
          <w:rFonts w:ascii="Lato" w:hAnsi="Lato" w:cs="Times New Roman"/>
          <w:sz w:val="20"/>
          <w:szCs w:val="20"/>
        </w:rPr>
        <w:t>ir</w:t>
      </w:r>
      <w:r w:rsidR="009315E9" w:rsidRPr="003027C5">
        <w:rPr>
          <w:rFonts w:ascii="Lato" w:hAnsi="Lato" w:cs="Times New Roman"/>
          <w:sz w:val="20"/>
          <w:szCs w:val="20"/>
        </w:rPr>
        <w:t xml:space="preserve"> implementation.  There are several outstanding examples of non-governmental communities of practice in local housing </w:t>
      </w:r>
      <w:r w:rsidR="009315E9" w:rsidRPr="003027C5">
        <w:rPr>
          <w:rFonts w:ascii="Lato" w:hAnsi="Lato" w:cs="Times New Roman"/>
          <w:sz w:val="20"/>
          <w:szCs w:val="20"/>
        </w:rPr>
        <w:lastRenderedPageBreak/>
        <w:t xml:space="preserve">programs and policymaking, including </w:t>
      </w:r>
      <w:r w:rsidR="009315E9" w:rsidRPr="007231DA">
        <w:rPr>
          <w:rFonts w:ascii="Lato" w:hAnsi="Lato" w:cs="Times New Roman"/>
          <w:sz w:val="20"/>
          <w:szCs w:val="20"/>
        </w:rPr>
        <w:t xml:space="preserve">the </w:t>
      </w:r>
      <w:r w:rsidR="00B270AD">
        <w:rPr>
          <w:rFonts w:ascii="Lato" w:hAnsi="Lato" w:cs="Times New Roman"/>
          <w:sz w:val="20"/>
          <w:szCs w:val="20"/>
        </w:rPr>
        <w:t xml:space="preserve">Urban Institute-convened </w:t>
      </w:r>
      <w:r w:rsidR="009315E9" w:rsidRPr="007231DA">
        <w:rPr>
          <w:rFonts w:ascii="Lato" w:hAnsi="Lato" w:cs="Times New Roman"/>
          <w:sz w:val="20"/>
          <w:szCs w:val="20"/>
        </w:rPr>
        <w:t>Renters and Rental Market Crisis Working Group</w:t>
      </w:r>
      <w:r w:rsidR="009315E9" w:rsidRPr="003027C5">
        <w:rPr>
          <w:rFonts w:ascii="Lato" w:hAnsi="Lato" w:cs="Times New Roman"/>
          <w:sz w:val="20"/>
          <w:szCs w:val="20"/>
        </w:rPr>
        <w:t>,</w:t>
      </w:r>
      <w:r w:rsidR="007231DA">
        <w:rPr>
          <w:rStyle w:val="FootnoteReference"/>
          <w:rFonts w:ascii="Lato" w:hAnsi="Lato" w:cs="Times New Roman"/>
          <w:sz w:val="20"/>
          <w:szCs w:val="20"/>
        </w:rPr>
        <w:footnoteReference w:id="38"/>
      </w:r>
      <w:r w:rsidR="007231DA">
        <w:rPr>
          <w:rFonts w:ascii="Lato" w:hAnsi="Lato" w:cs="Times New Roman"/>
          <w:sz w:val="20"/>
          <w:szCs w:val="20"/>
        </w:rPr>
        <w:t xml:space="preserve"> </w:t>
      </w:r>
      <w:r w:rsidR="00B270AD">
        <w:rPr>
          <w:rFonts w:ascii="Lato" w:hAnsi="Lato" w:cs="Times New Roman"/>
          <w:sz w:val="20"/>
          <w:szCs w:val="20"/>
          <w:shd w:val="clear" w:color="auto" w:fill="FFFFFF"/>
        </w:rPr>
        <w:t>and</w:t>
      </w:r>
      <w:r w:rsidR="009315E9" w:rsidRPr="003027C5">
        <w:rPr>
          <w:rFonts w:ascii="Lato" w:hAnsi="Lato" w:cs="Times New Roman"/>
          <w:sz w:val="20"/>
          <w:szCs w:val="20"/>
        </w:rPr>
        <w:t xml:space="preserve"> NYU’s Furman Center</w:t>
      </w:r>
      <w:r w:rsidR="00B270AD">
        <w:rPr>
          <w:rFonts w:ascii="Lato" w:hAnsi="Lato" w:cs="Times New Roman"/>
          <w:sz w:val="20"/>
          <w:szCs w:val="20"/>
        </w:rPr>
        <w:t>/</w:t>
      </w:r>
      <w:r w:rsidR="009315E9" w:rsidRPr="003027C5">
        <w:rPr>
          <w:rFonts w:ascii="Lato" w:hAnsi="Lato" w:cs="Times New Roman"/>
          <w:sz w:val="20"/>
          <w:szCs w:val="20"/>
        </w:rPr>
        <w:t xml:space="preserve">ABT Associates </w:t>
      </w:r>
      <w:r w:rsidR="009315E9" w:rsidRPr="007231DA">
        <w:rPr>
          <w:rFonts w:ascii="Lato" w:hAnsi="Lato" w:cs="Times New Roman"/>
          <w:sz w:val="20"/>
          <w:szCs w:val="20"/>
        </w:rPr>
        <w:t>Local Housing Solutions</w:t>
      </w:r>
      <w:r w:rsidR="009315E9" w:rsidRPr="003027C5">
        <w:rPr>
          <w:rFonts w:ascii="Lato" w:hAnsi="Lato" w:cs="Times New Roman"/>
          <w:sz w:val="20"/>
          <w:szCs w:val="20"/>
          <w:shd w:val="clear" w:color="auto" w:fill="FFFFFF"/>
        </w:rPr>
        <w:t>.</w:t>
      </w:r>
      <w:r w:rsidR="007231DA">
        <w:rPr>
          <w:rStyle w:val="FootnoteReference"/>
          <w:rFonts w:ascii="Lato" w:hAnsi="Lato" w:cs="Times New Roman"/>
          <w:sz w:val="20"/>
          <w:szCs w:val="20"/>
          <w:shd w:val="clear" w:color="auto" w:fill="FFFFFF"/>
        </w:rPr>
        <w:footnoteReference w:id="39"/>
      </w:r>
      <w:r w:rsidR="00B270AD">
        <w:rPr>
          <w:rFonts w:ascii="Lato" w:hAnsi="Lato" w:cs="Times New Roman"/>
          <w:sz w:val="20"/>
          <w:szCs w:val="20"/>
          <w:shd w:val="clear" w:color="auto" w:fill="FFFFFF"/>
        </w:rPr>
        <w:t xml:space="preserve"> </w:t>
      </w:r>
    </w:p>
    <w:p w14:paraId="4894FE83" w14:textId="379963F4" w:rsidR="00256D33" w:rsidRPr="00F801B4" w:rsidRDefault="00256D33" w:rsidP="00F801B4">
      <w:pPr>
        <w:pStyle w:val="NormalWeb"/>
        <w:spacing w:before="0" w:beforeAutospacing="0" w:after="160" w:afterAutospacing="0"/>
        <w:rPr>
          <w:rFonts w:ascii="Lato" w:hAnsi="Lato"/>
          <w:sz w:val="20"/>
          <w:szCs w:val="20"/>
          <w:shd w:val="clear" w:color="auto" w:fill="FFFFFF"/>
        </w:rPr>
      </w:pPr>
      <w:r w:rsidRPr="003027C5">
        <w:rPr>
          <w:rFonts w:ascii="Lato" w:hAnsi="Lato"/>
          <w:sz w:val="20"/>
          <w:szCs w:val="20"/>
          <w:shd w:val="clear" w:color="auto" w:fill="FFFFFF"/>
        </w:rPr>
        <w:t xml:space="preserve">We recommend the FHFA consider going further and </w:t>
      </w:r>
      <w:r w:rsidR="00BE1335" w:rsidRPr="003027C5">
        <w:rPr>
          <w:rFonts w:ascii="Lato" w:hAnsi="Lato"/>
          <w:sz w:val="20"/>
          <w:szCs w:val="20"/>
          <w:shd w:val="clear" w:color="auto" w:fill="FFFFFF"/>
        </w:rPr>
        <w:t xml:space="preserve">consider </w:t>
      </w:r>
      <w:r w:rsidRPr="003027C5">
        <w:rPr>
          <w:rFonts w:ascii="Lato" w:hAnsi="Lato"/>
          <w:sz w:val="20"/>
          <w:szCs w:val="20"/>
          <w:shd w:val="clear" w:color="auto" w:fill="FFFFFF"/>
        </w:rPr>
        <w:t>implementing an advisory council</w:t>
      </w:r>
      <w:r w:rsidR="00BE1335" w:rsidRPr="003027C5">
        <w:rPr>
          <w:rFonts w:ascii="Lato" w:hAnsi="Lato"/>
          <w:sz w:val="20"/>
          <w:szCs w:val="20"/>
          <w:shd w:val="clear" w:color="auto" w:fill="FFFFFF"/>
        </w:rPr>
        <w:t xml:space="preserve"> that would allow a</w:t>
      </w:r>
      <w:r w:rsidRPr="003027C5">
        <w:rPr>
          <w:rFonts w:ascii="Lato" w:hAnsi="Lato"/>
          <w:sz w:val="20"/>
          <w:szCs w:val="20"/>
          <w:shd w:val="clear" w:color="auto" w:fill="FFFFFF"/>
        </w:rPr>
        <w:t xml:space="preserve"> cross</w:t>
      </w:r>
      <w:r w:rsidR="00BE1335" w:rsidRPr="003027C5">
        <w:rPr>
          <w:rFonts w:ascii="Lato" w:hAnsi="Lato"/>
          <w:sz w:val="20"/>
          <w:szCs w:val="20"/>
          <w:shd w:val="clear" w:color="auto" w:fill="FFFFFF"/>
        </w:rPr>
        <w:t xml:space="preserve"> </w:t>
      </w:r>
      <w:r w:rsidRPr="003027C5">
        <w:rPr>
          <w:rFonts w:ascii="Lato" w:hAnsi="Lato"/>
          <w:sz w:val="20"/>
          <w:szCs w:val="20"/>
          <w:shd w:val="clear" w:color="auto" w:fill="FFFFFF"/>
        </w:rPr>
        <w:t xml:space="preserve">section of stakeholders visibility and input into the EHFP process. One model is the CFPB’s </w:t>
      </w:r>
      <w:r w:rsidRPr="007231DA">
        <w:rPr>
          <w:rFonts w:ascii="Lato" w:hAnsi="Lato"/>
          <w:sz w:val="20"/>
          <w:szCs w:val="20"/>
          <w:shd w:val="clear" w:color="auto" w:fill="FFFFFF"/>
        </w:rPr>
        <w:t>Consumer Advisory Board</w:t>
      </w:r>
      <w:r w:rsidRPr="003027C5">
        <w:rPr>
          <w:rFonts w:ascii="Lato" w:hAnsi="Lato"/>
          <w:sz w:val="20"/>
          <w:szCs w:val="20"/>
          <w:shd w:val="clear" w:color="auto" w:fill="FFFFFF"/>
        </w:rPr>
        <w:t>, which includes “external experts, industry representatives, consumer and consumer representatives, community leaders and advocates” charged with “</w:t>
      </w:r>
      <w:r w:rsidRPr="003027C5">
        <w:rPr>
          <w:rFonts w:ascii="Lato" w:hAnsi="Lato" w:cs="Arial"/>
          <w:color w:val="101820"/>
          <w:sz w:val="20"/>
          <w:szCs w:val="20"/>
        </w:rPr>
        <w:t xml:space="preserve"> </w:t>
      </w:r>
      <w:r w:rsidRPr="003027C5">
        <w:rPr>
          <w:rFonts w:ascii="Lato" w:hAnsi="Lato"/>
          <w:sz w:val="20"/>
          <w:szCs w:val="20"/>
          <w:shd w:val="clear" w:color="auto" w:fill="FFFFFF"/>
        </w:rPr>
        <w:t>identifying and assessing the impact of emerging products, practices, or services on consumers and other market participants.”</w:t>
      </w:r>
      <w:r w:rsidR="007231DA">
        <w:rPr>
          <w:rStyle w:val="FootnoteReference"/>
          <w:rFonts w:ascii="Lato" w:hAnsi="Lato"/>
          <w:sz w:val="20"/>
          <w:szCs w:val="20"/>
          <w:shd w:val="clear" w:color="auto" w:fill="FFFFFF"/>
        </w:rPr>
        <w:footnoteReference w:id="40"/>
      </w:r>
      <w:r w:rsidRPr="003027C5">
        <w:rPr>
          <w:rFonts w:ascii="Lato" w:hAnsi="Lato"/>
          <w:sz w:val="20"/>
          <w:szCs w:val="20"/>
          <w:shd w:val="clear" w:color="auto" w:fill="FFFFFF"/>
        </w:rPr>
        <w:t xml:space="preserve"> However, </w:t>
      </w:r>
      <w:r w:rsidR="00BE1335" w:rsidRPr="003027C5">
        <w:rPr>
          <w:rFonts w:ascii="Lato" w:hAnsi="Lato"/>
          <w:sz w:val="20"/>
          <w:szCs w:val="20"/>
          <w:shd w:val="clear" w:color="auto" w:fill="FFFFFF"/>
        </w:rPr>
        <w:t xml:space="preserve">in the case of the EHFP process, council members </w:t>
      </w:r>
      <w:r w:rsidRPr="003027C5">
        <w:rPr>
          <w:rFonts w:ascii="Lato" w:hAnsi="Lato"/>
          <w:sz w:val="20"/>
          <w:szCs w:val="20"/>
          <w:shd w:val="clear" w:color="auto" w:fill="FFFFFF"/>
        </w:rPr>
        <w:t>should be given more specific, substantive visibility and input into the EHFPs and their execution.</w:t>
      </w:r>
    </w:p>
    <w:p w14:paraId="6C393139" w14:textId="4B952D9F" w:rsidR="009E5120" w:rsidRPr="003027C5" w:rsidRDefault="009E5120" w:rsidP="00F801B4">
      <w:pPr>
        <w:spacing w:line="240" w:lineRule="auto"/>
        <w:rPr>
          <w:rFonts w:ascii="Lato" w:hAnsi="Lato" w:cs="Times New Roman"/>
          <w:b/>
          <w:color w:val="000000" w:themeColor="text1"/>
          <w:sz w:val="20"/>
          <w:szCs w:val="20"/>
        </w:rPr>
      </w:pPr>
      <w:r w:rsidRPr="003027C5">
        <w:rPr>
          <w:rFonts w:ascii="Lato" w:hAnsi="Lato" w:cs="Times New Roman"/>
          <w:b/>
          <w:color w:val="000000" w:themeColor="text1"/>
          <w:sz w:val="20"/>
          <w:szCs w:val="20"/>
        </w:rPr>
        <w:t>Conclusion</w:t>
      </w:r>
    </w:p>
    <w:p w14:paraId="1B893F9A" w14:textId="7457B97D" w:rsidR="00AA5F51" w:rsidRPr="003027C5" w:rsidRDefault="00BE1335" w:rsidP="00F801B4">
      <w:pPr>
        <w:spacing w:line="240" w:lineRule="auto"/>
        <w:rPr>
          <w:rFonts w:ascii="Lato" w:hAnsi="Lato" w:cs="Times New Roman"/>
          <w:color w:val="000000" w:themeColor="text1"/>
          <w:sz w:val="20"/>
          <w:szCs w:val="20"/>
        </w:rPr>
      </w:pPr>
      <w:r w:rsidRPr="003027C5">
        <w:rPr>
          <w:rFonts w:ascii="Lato" w:hAnsi="Lato" w:cs="Times New Roman"/>
          <w:color w:val="000000" w:themeColor="text1"/>
          <w:sz w:val="20"/>
          <w:szCs w:val="20"/>
        </w:rPr>
        <w:t>We</w:t>
      </w:r>
      <w:r w:rsidR="00AA5F51" w:rsidRPr="003027C5">
        <w:rPr>
          <w:rFonts w:ascii="Lato" w:hAnsi="Lato" w:cs="Times New Roman"/>
          <w:color w:val="000000" w:themeColor="text1"/>
          <w:sz w:val="20"/>
          <w:szCs w:val="20"/>
        </w:rPr>
        <w:t xml:space="preserve"> are pleased and honored to offer these comments </w:t>
      </w:r>
      <w:r w:rsidR="00867435" w:rsidRPr="003027C5">
        <w:rPr>
          <w:rFonts w:ascii="Lato" w:hAnsi="Lato" w:cs="Times New Roman"/>
          <w:color w:val="000000" w:themeColor="text1"/>
          <w:sz w:val="20"/>
          <w:szCs w:val="20"/>
        </w:rPr>
        <w:t xml:space="preserve">and hope they add </w:t>
      </w:r>
      <w:r w:rsidR="00AA5F51" w:rsidRPr="003027C5">
        <w:rPr>
          <w:rFonts w:ascii="Lato" w:hAnsi="Lato" w:cs="Times New Roman"/>
          <w:color w:val="000000" w:themeColor="text1"/>
          <w:sz w:val="20"/>
          <w:szCs w:val="20"/>
        </w:rPr>
        <w:t xml:space="preserve">to the many thoughtful recommendations that this landmark </w:t>
      </w:r>
      <w:r w:rsidR="00867435" w:rsidRPr="003027C5">
        <w:rPr>
          <w:rFonts w:ascii="Lato" w:hAnsi="Lato" w:cs="Times New Roman"/>
          <w:color w:val="000000" w:themeColor="text1"/>
          <w:sz w:val="20"/>
          <w:szCs w:val="20"/>
        </w:rPr>
        <w:t xml:space="preserve">undertaking will surely elicit. </w:t>
      </w:r>
      <w:r w:rsidRPr="003027C5">
        <w:rPr>
          <w:rFonts w:ascii="Lato" w:hAnsi="Lato" w:cs="Times New Roman"/>
          <w:color w:val="000000" w:themeColor="text1"/>
          <w:sz w:val="20"/>
          <w:szCs w:val="20"/>
        </w:rPr>
        <w:t>In closing, we</w:t>
      </w:r>
      <w:r w:rsidRPr="003027C5">
        <w:rPr>
          <w:rFonts w:ascii="Lato" w:hAnsi="Lato" w:cs="Times New Roman"/>
          <w:sz w:val="20"/>
          <w:szCs w:val="20"/>
        </w:rPr>
        <w:t xml:space="preserve"> </w:t>
      </w:r>
      <w:r w:rsidR="00A001C3" w:rsidRPr="003027C5">
        <w:rPr>
          <w:rFonts w:ascii="Lato" w:hAnsi="Lato" w:cs="Times New Roman"/>
          <w:sz w:val="20"/>
          <w:szCs w:val="20"/>
        </w:rPr>
        <w:t>encourage you to use</w:t>
      </w:r>
      <w:r w:rsidR="00867435" w:rsidRPr="003027C5">
        <w:rPr>
          <w:rFonts w:ascii="Lato" w:hAnsi="Lato" w:cs="Times New Roman"/>
          <w:sz w:val="20"/>
          <w:szCs w:val="20"/>
        </w:rPr>
        <w:t xml:space="preserve"> this historic moment to make lasting and fundamental change on the premise that </w:t>
      </w:r>
      <w:r w:rsidR="00F54CDB" w:rsidRPr="003027C5">
        <w:rPr>
          <w:rFonts w:ascii="Lato" w:hAnsi="Lato" w:cs="Times New Roman"/>
          <w:sz w:val="20"/>
          <w:szCs w:val="20"/>
        </w:rPr>
        <w:t xml:space="preserve">“[A]n organization should resist the temptation to separate racial equity goals from all other goals in the organization. Racial equity as a value and an operating practice means that racial equity is at the center or core of all the organization’s work—no decision is made and no activity is implemented without conducting a racial equity impact analysis to understand the effect of that decision on the organization’s racial equity goals. This explicit understanding and practice prevent an organization from making racial equity a </w:t>
      </w:r>
      <w:r w:rsidR="00F801B4">
        <w:rPr>
          <w:rFonts w:ascii="Lato" w:hAnsi="Lato" w:cs="Times New Roman"/>
          <w:sz w:val="20"/>
          <w:szCs w:val="20"/>
        </w:rPr>
        <w:t>‘</w:t>
      </w:r>
      <w:r w:rsidR="00F54CDB" w:rsidRPr="003027C5">
        <w:rPr>
          <w:rFonts w:ascii="Lato" w:hAnsi="Lato" w:cs="Times New Roman"/>
          <w:sz w:val="20"/>
          <w:szCs w:val="20"/>
        </w:rPr>
        <w:t>nice to do</w:t>
      </w:r>
      <w:r w:rsidR="00F801B4">
        <w:rPr>
          <w:rFonts w:ascii="Lato" w:hAnsi="Lato" w:cs="Times New Roman"/>
          <w:sz w:val="20"/>
          <w:szCs w:val="20"/>
        </w:rPr>
        <w:t>’</w:t>
      </w:r>
      <w:r w:rsidR="00F54CDB" w:rsidRPr="003027C5">
        <w:rPr>
          <w:rFonts w:ascii="Lato" w:hAnsi="Lato" w:cs="Times New Roman"/>
          <w:sz w:val="20"/>
          <w:szCs w:val="20"/>
        </w:rPr>
        <w:t xml:space="preserve"> rather than a </w:t>
      </w:r>
      <w:r w:rsidR="00F801B4">
        <w:rPr>
          <w:rFonts w:ascii="Lato" w:hAnsi="Lato" w:cs="Times New Roman"/>
          <w:sz w:val="20"/>
          <w:szCs w:val="20"/>
        </w:rPr>
        <w:t>‘</w:t>
      </w:r>
      <w:r w:rsidR="00F54CDB" w:rsidRPr="003027C5">
        <w:rPr>
          <w:rFonts w:ascii="Lato" w:hAnsi="Lato" w:cs="Times New Roman"/>
          <w:sz w:val="20"/>
          <w:szCs w:val="20"/>
        </w:rPr>
        <w:t>must do.</w:t>
      </w:r>
      <w:r w:rsidR="00F801B4">
        <w:rPr>
          <w:rFonts w:ascii="Lato" w:hAnsi="Lato" w:cs="Times New Roman"/>
          <w:sz w:val="20"/>
          <w:szCs w:val="20"/>
        </w:rPr>
        <w:t>’</w:t>
      </w:r>
      <w:r w:rsidR="00F54CDB" w:rsidRPr="003027C5">
        <w:rPr>
          <w:rFonts w:ascii="Lato" w:hAnsi="Lato" w:cs="Times New Roman"/>
          <w:sz w:val="20"/>
          <w:szCs w:val="20"/>
        </w:rPr>
        <w:t>”</w:t>
      </w:r>
      <w:r w:rsidR="00F54CDB" w:rsidRPr="003027C5">
        <w:rPr>
          <w:rFonts w:ascii="Lato" w:hAnsi="Lato" w:cs="Times New Roman"/>
          <w:sz w:val="20"/>
          <w:szCs w:val="20"/>
          <w:vertAlign w:val="superscript"/>
        </w:rPr>
        <w:footnoteReference w:id="41"/>
      </w:r>
      <w:r w:rsidR="00867435" w:rsidRPr="003027C5">
        <w:rPr>
          <w:rFonts w:ascii="Lato" w:hAnsi="Lato" w:cs="Times New Roman"/>
          <w:sz w:val="20"/>
          <w:szCs w:val="20"/>
        </w:rPr>
        <w:t xml:space="preserve"> </w:t>
      </w:r>
      <w:r w:rsidRPr="003027C5">
        <w:rPr>
          <w:rFonts w:ascii="Lato" w:hAnsi="Lato" w:cs="Times New Roman"/>
          <w:sz w:val="20"/>
          <w:szCs w:val="20"/>
        </w:rPr>
        <w:t xml:space="preserve">The FHFA and the Enterprises </w:t>
      </w:r>
      <w:r w:rsidR="00AC5957" w:rsidRPr="003027C5">
        <w:rPr>
          <w:rFonts w:ascii="Lato" w:hAnsi="Lato" w:cs="Times New Roman"/>
          <w:sz w:val="20"/>
          <w:szCs w:val="20"/>
        </w:rPr>
        <w:t xml:space="preserve">are profoundly influential in shaping the future of the housing financial system and, as such, the future for millions of Americans, including those who have for centuries been denied the economic opportunities that America represents. We are encouraged by your vision of that future, </w:t>
      </w:r>
      <w:r w:rsidR="00AC5957" w:rsidRPr="003027C5">
        <w:rPr>
          <w:rFonts w:ascii="Lato" w:hAnsi="Lato" w:cs="Times New Roman"/>
          <w:color w:val="000000" w:themeColor="text1"/>
          <w:sz w:val="20"/>
          <w:szCs w:val="20"/>
        </w:rPr>
        <w:t xml:space="preserve">appreciate the opportunity to provide these recommendations, </w:t>
      </w:r>
      <w:r w:rsidR="00AA5F51" w:rsidRPr="003027C5">
        <w:rPr>
          <w:rFonts w:ascii="Lato" w:hAnsi="Lato" w:cs="Times New Roman"/>
          <w:color w:val="000000" w:themeColor="text1"/>
          <w:sz w:val="20"/>
          <w:szCs w:val="20"/>
        </w:rPr>
        <w:t xml:space="preserve">and applaud FHFA for its leadership and vision in creating a more equitable housing finance system. </w:t>
      </w:r>
    </w:p>
    <w:p w14:paraId="39DA1DDA" w14:textId="271740A3" w:rsidR="00363B79" w:rsidRPr="003027C5" w:rsidRDefault="00A941E3" w:rsidP="00A941E3">
      <w:pPr>
        <w:spacing w:line="240" w:lineRule="auto"/>
        <w:rPr>
          <w:rFonts w:ascii="Lato" w:hAnsi="Lato" w:cs="Times New Roman"/>
          <w:color w:val="000000" w:themeColor="text1"/>
          <w:sz w:val="20"/>
          <w:szCs w:val="20"/>
        </w:rPr>
      </w:pPr>
      <w:r w:rsidRPr="003027C5">
        <w:rPr>
          <w:rFonts w:ascii="Lato" w:hAnsi="Lato" w:cs="Times New Roman"/>
          <w:color w:val="000000" w:themeColor="text1"/>
          <w:sz w:val="20"/>
          <w:szCs w:val="20"/>
        </w:rPr>
        <w:t>Sincerely</w:t>
      </w:r>
      <w:r w:rsidR="003027C5">
        <w:rPr>
          <w:rFonts w:ascii="Lato" w:hAnsi="Lato" w:cs="Times New Roman"/>
          <w:color w:val="000000" w:themeColor="text1"/>
          <w:sz w:val="20"/>
          <w:szCs w:val="20"/>
        </w:rPr>
        <w:t>,</w:t>
      </w:r>
    </w:p>
    <w:p w14:paraId="44BB1855" w14:textId="77777777" w:rsidR="00363B79" w:rsidRPr="003027C5" w:rsidRDefault="00363B79" w:rsidP="00A941E3">
      <w:pPr>
        <w:spacing w:line="240" w:lineRule="auto"/>
        <w:rPr>
          <w:rFonts w:ascii="Lato" w:hAnsi="Lato" w:cs="Times New Roman"/>
          <w:color w:val="000000" w:themeColor="text1"/>
          <w:sz w:val="20"/>
          <w:szCs w:val="20"/>
        </w:rPr>
      </w:pPr>
      <w:r w:rsidRPr="003027C5">
        <w:rPr>
          <w:rFonts w:ascii="Lato" w:hAnsi="Lato" w:cs="Times New Roman"/>
          <w:color w:val="000000" w:themeColor="text1"/>
          <w:sz w:val="20"/>
          <w:szCs w:val="20"/>
        </w:rPr>
        <w:t>Janneke Ratcliffe, Associate Vice President, Urban Institute Housing Finance Policy Center</w:t>
      </w:r>
    </w:p>
    <w:p w14:paraId="3CE88778" w14:textId="28C5783D" w:rsidR="007231DA" w:rsidRDefault="00363B79" w:rsidP="00554A52">
      <w:pPr>
        <w:spacing w:line="240" w:lineRule="auto"/>
        <w:rPr>
          <w:rStyle w:val="CommentReference"/>
          <w:rFonts w:ascii="Lato" w:hAnsi="Lato"/>
          <w:sz w:val="20"/>
          <w:szCs w:val="20"/>
        </w:rPr>
      </w:pPr>
      <w:r w:rsidRPr="003027C5">
        <w:rPr>
          <w:rFonts w:ascii="Lato" w:hAnsi="Lato" w:cs="Times New Roman"/>
          <w:color w:val="000000" w:themeColor="text1"/>
          <w:sz w:val="20"/>
          <w:szCs w:val="20"/>
        </w:rPr>
        <w:t xml:space="preserve">Michael A. Stegman, </w:t>
      </w:r>
      <w:r w:rsidR="006D7E34">
        <w:rPr>
          <w:rFonts w:ascii="Lato" w:hAnsi="Lato" w:cs="Times New Roman"/>
          <w:color w:val="000000" w:themeColor="text1"/>
          <w:sz w:val="20"/>
          <w:szCs w:val="20"/>
        </w:rPr>
        <w:t xml:space="preserve">PhD. </w:t>
      </w:r>
      <w:r w:rsidRPr="003027C5">
        <w:rPr>
          <w:rFonts w:ascii="Lato" w:hAnsi="Lato" w:cs="Times New Roman"/>
          <w:color w:val="000000" w:themeColor="text1"/>
          <w:sz w:val="20"/>
          <w:szCs w:val="20"/>
        </w:rPr>
        <w:t>Non</w:t>
      </w:r>
      <w:r w:rsidR="003027C5">
        <w:rPr>
          <w:rFonts w:ascii="Lato" w:hAnsi="Lato" w:cs="Times New Roman"/>
          <w:color w:val="000000" w:themeColor="text1"/>
          <w:sz w:val="20"/>
          <w:szCs w:val="20"/>
        </w:rPr>
        <w:t>r</w:t>
      </w:r>
      <w:r w:rsidRPr="003027C5">
        <w:rPr>
          <w:rFonts w:ascii="Lato" w:hAnsi="Lato" w:cs="Times New Roman"/>
          <w:color w:val="000000" w:themeColor="text1"/>
          <w:sz w:val="20"/>
          <w:szCs w:val="20"/>
        </w:rPr>
        <w:t>esident Fellow, Urban Institute</w:t>
      </w:r>
      <w:r w:rsidR="006D7E34">
        <w:rPr>
          <w:rFonts w:ascii="Lato" w:hAnsi="Lato" w:cs="Times New Roman"/>
          <w:color w:val="000000" w:themeColor="text1"/>
          <w:sz w:val="20"/>
          <w:szCs w:val="20"/>
        </w:rPr>
        <w:t xml:space="preserve"> Housing Finance Policy Center</w:t>
      </w:r>
    </w:p>
    <w:p w14:paraId="12E21C88" w14:textId="77777777" w:rsidR="00FC7C9B" w:rsidRPr="00FC7C9B" w:rsidRDefault="00FC7C9B" w:rsidP="00554A52">
      <w:pPr>
        <w:spacing w:line="240" w:lineRule="auto"/>
        <w:rPr>
          <w:rStyle w:val="Emphasis"/>
          <w:rFonts w:ascii="Lato" w:hAnsi="Lato"/>
          <w:i w:val="0"/>
          <w:iCs w:val="0"/>
          <w:sz w:val="20"/>
          <w:szCs w:val="20"/>
        </w:rPr>
      </w:pPr>
    </w:p>
    <w:p w14:paraId="6C0EA4A0" w14:textId="076D466E" w:rsidR="00A941E3" w:rsidRPr="007231DA" w:rsidRDefault="007231DA" w:rsidP="00554A52">
      <w:pPr>
        <w:spacing w:line="240" w:lineRule="auto"/>
        <w:rPr>
          <w:rFonts w:ascii="Lato" w:hAnsi="Lato" w:cs="Times New Roman"/>
          <w:sz w:val="18"/>
          <w:szCs w:val="18"/>
        </w:rPr>
      </w:pPr>
      <w:r w:rsidRPr="007231DA">
        <w:rPr>
          <w:rStyle w:val="Emphasis"/>
          <w:rFonts w:ascii="Lato" w:hAnsi="Lato"/>
          <w:sz w:val="20"/>
          <w:szCs w:val="20"/>
          <w:shd w:val="clear" w:color="auto" w:fill="FFFFFF"/>
        </w:rPr>
        <w:t xml:space="preserve">The views included are those of the authors and should not be attributed to </w:t>
      </w:r>
      <w:r>
        <w:rPr>
          <w:rStyle w:val="Emphasis"/>
          <w:rFonts w:ascii="Lato" w:hAnsi="Lato"/>
          <w:sz w:val="20"/>
          <w:szCs w:val="20"/>
          <w:shd w:val="clear" w:color="auto" w:fill="FFFFFF"/>
        </w:rPr>
        <w:t>the Urban Institute.</w:t>
      </w:r>
      <w:bookmarkStart w:id="1" w:name="_GoBack"/>
      <w:bookmarkEnd w:id="1"/>
    </w:p>
    <w:sectPr w:rsidR="00A941E3" w:rsidRPr="007231D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4EFB" w16cex:dateUtc="2021-10-25T19:42:00Z"/>
  <w16cex:commentExtensible w16cex:durableId="25215019" w16cex:dateUtc="2021-10-25T19:47:00Z"/>
  <w16cex:commentExtensible w16cex:durableId="25215061" w16cex:dateUtc="2021-10-25T1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05D4" w14:textId="77777777" w:rsidR="00C25DD9" w:rsidRDefault="00C25DD9" w:rsidP="007C2578">
      <w:pPr>
        <w:spacing w:after="0" w:line="240" w:lineRule="auto"/>
      </w:pPr>
      <w:r>
        <w:separator/>
      </w:r>
    </w:p>
  </w:endnote>
  <w:endnote w:type="continuationSeparator" w:id="0">
    <w:p w14:paraId="73059C1B" w14:textId="77777777" w:rsidR="00C25DD9" w:rsidRDefault="00C25DD9" w:rsidP="007C2578">
      <w:pPr>
        <w:spacing w:after="0" w:line="240" w:lineRule="auto"/>
      </w:pPr>
      <w:r>
        <w:continuationSeparator/>
      </w:r>
    </w:p>
  </w:endnote>
  <w:endnote w:type="continuationNotice" w:id="1">
    <w:p w14:paraId="4B83CBE9" w14:textId="77777777" w:rsidR="00C25DD9" w:rsidRDefault="00C25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 LightCondensed">
    <w:altName w:val="Interstate LightCondensed"/>
    <w:panose1 w:val="00000000000000000000"/>
    <w:charset w:val="00"/>
    <w:family w:val="swiss"/>
    <w:notTrueType/>
    <w:pitch w:val="default"/>
    <w:sig w:usb0="00000003" w:usb1="00000000" w:usb2="00000000" w:usb3="00000000" w:csb0="00000001" w:csb1="00000000"/>
  </w:font>
  <w:font w:name="Interstate BoldCondensed">
    <w:altName w:val="Interstate BoldCondensed"/>
    <w:panose1 w:val="00000000000000000000"/>
    <w:charset w:val="00"/>
    <w:family w:val="swiss"/>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KaiT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5459197"/>
      <w:docPartObj>
        <w:docPartGallery w:val="Page Numbers (Bottom of Page)"/>
        <w:docPartUnique/>
      </w:docPartObj>
    </w:sdtPr>
    <w:sdtEndPr>
      <w:rPr>
        <w:rStyle w:val="PageNumber"/>
      </w:rPr>
    </w:sdtEndPr>
    <w:sdtContent>
      <w:p w14:paraId="0DB5B803" w14:textId="15554665" w:rsidR="003257F2" w:rsidRDefault="003257F2" w:rsidP="00C41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789AA" w14:textId="77777777" w:rsidR="003257F2" w:rsidRDefault="003257F2" w:rsidP="00554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ato" w:hAnsi="Lato"/>
      </w:rPr>
      <w:id w:val="-1415933183"/>
      <w:docPartObj>
        <w:docPartGallery w:val="Page Numbers (Bottom of Page)"/>
        <w:docPartUnique/>
      </w:docPartObj>
    </w:sdtPr>
    <w:sdtEndPr>
      <w:rPr>
        <w:rStyle w:val="PageNumber"/>
        <w:sz w:val="20"/>
        <w:szCs w:val="20"/>
      </w:rPr>
    </w:sdtEndPr>
    <w:sdtContent>
      <w:p w14:paraId="2FC82B22" w14:textId="5A1FF60D" w:rsidR="003257F2" w:rsidRPr="00F4296E" w:rsidRDefault="003257F2" w:rsidP="00C41AB7">
        <w:pPr>
          <w:pStyle w:val="Footer"/>
          <w:framePr w:wrap="none" w:vAnchor="text" w:hAnchor="margin" w:xAlign="right" w:y="1"/>
          <w:rPr>
            <w:rStyle w:val="PageNumber"/>
            <w:rFonts w:ascii="Lato" w:hAnsi="Lato"/>
            <w:sz w:val="20"/>
            <w:szCs w:val="20"/>
          </w:rPr>
        </w:pPr>
        <w:r w:rsidRPr="00F4296E">
          <w:rPr>
            <w:rStyle w:val="PageNumber"/>
            <w:rFonts w:ascii="Lato" w:hAnsi="Lato"/>
            <w:sz w:val="20"/>
            <w:szCs w:val="20"/>
          </w:rPr>
          <w:fldChar w:fldCharType="begin"/>
        </w:r>
        <w:r w:rsidRPr="00F4296E">
          <w:rPr>
            <w:rStyle w:val="PageNumber"/>
            <w:rFonts w:ascii="Lato" w:hAnsi="Lato"/>
            <w:sz w:val="20"/>
            <w:szCs w:val="20"/>
          </w:rPr>
          <w:instrText xml:space="preserve"> PAGE </w:instrText>
        </w:r>
        <w:r w:rsidRPr="00F4296E">
          <w:rPr>
            <w:rStyle w:val="PageNumber"/>
            <w:rFonts w:ascii="Lato" w:hAnsi="Lato"/>
            <w:sz w:val="20"/>
            <w:szCs w:val="20"/>
          </w:rPr>
          <w:fldChar w:fldCharType="separate"/>
        </w:r>
        <w:r w:rsidRPr="00F4296E">
          <w:rPr>
            <w:rStyle w:val="PageNumber"/>
            <w:rFonts w:ascii="Lato" w:hAnsi="Lato"/>
            <w:noProof/>
            <w:sz w:val="20"/>
            <w:szCs w:val="20"/>
          </w:rPr>
          <w:t>9</w:t>
        </w:r>
        <w:r w:rsidRPr="00F4296E">
          <w:rPr>
            <w:rStyle w:val="PageNumber"/>
            <w:rFonts w:ascii="Lato" w:hAnsi="Lato"/>
            <w:sz w:val="20"/>
            <w:szCs w:val="20"/>
          </w:rPr>
          <w:fldChar w:fldCharType="end"/>
        </w:r>
      </w:p>
    </w:sdtContent>
  </w:sdt>
  <w:p w14:paraId="0C11AD2C" w14:textId="77777777" w:rsidR="003257F2" w:rsidRDefault="003257F2" w:rsidP="00554A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722C" w14:textId="77777777" w:rsidR="00C25DD9" w:rsidRDefault="00C25DD9" w:rsidP="007C2578">
      <w:pPr>
        <w:spacing w:after="0" w:line="240" w:lineRule="auto"/>
      </w:pPr>
      <w:r>
        <w:separator/>
      </w:r>
    </w:p>
  </w:footnote>
  <w:footnote w:type="continuationSeparator" w:id="0">
    <w:p w14:paraId="6F3C10DA" w14:textId="77777777" w:rsidR="00C25DD9" w:rsidRDefault="00C25DD9" w:rsidP="007C2578">
      <w:pPr>
        <w:spacing w:after="0" w:line="240" w:lineRule="auto"/>
      </w:pPr>
      <w:r>
        <w:continuationSeparator/>
      </w:r>
    </w:p>
  </w:footnote>
  <w:footnote w:type="continuationNotice" w:id="1">
    <w:p w14:paraId="60CE6136" w14:textId="77777777" w:rsidR="00C25DD9" w:rsidRDefault="00C25DD9">
      <w:pPr>
        <w:spacing w:after="0" w:line="240" w:lineRule="auto"/>
      </w:pPr>
    </w:p>
  </w:footnote>
  <w:footnote w:id="2">
    <w:p w14:paraId="17BAF662" w14:textId="64DB3832" w:rsidR="003257F2" w:rsidRPr="0055018C" w:rsidRDefault="003257F2" w:rsidP="16043CCD">
      <w:pPr>
        <w:pStyle w:val="FootnoteText"/>
        <w:rPr>
          <w:rFonts w:ascii="Lato" w:hAnsi="Lato"/>
          <w:sz w:val="18"/>
          <w:szCs w:val="18"/>
        </w:rPr>
      </w:pPr>
      <w:r w:rsidRPr="0055018C">
        <w:rPr>
          <w:rStyle w:val="FootnoteReference"/>
          <w:rFonts w:ascii="Lato" w:hAnsi="Lato"/>
          <w:sz w:val="18"/>
          <w:szCs w:val="18"/>
        </w:rPr>
        <w:footnoteRef/>
      </w:r>
      <w:r w:rsidRPr="0055018C">
        <w:rPr>
          <w:rFonts w:ascii="Lato" w:hAnsi="Lato"/>
          <w:sz w:val="18"/>
          <w:szCs w:val="18"/>
        </w:rPr>
        <w:t xml:space="preserve"> Lisa Rice, “Using SPCP Programs to Expand Equity,” </w:t>
      </w:r>
      <w:r w:rsidRPr="0055018C">
        <w:rPr>
          <w:rFonts w:ascii="Lato" w:hAnsi="Lato"/>
          <w:i/>
          <w:iCs/>
          <w:sz w:val="18"/>
          <w:szCs w:val="18"/>
        </w:rPr>
        <w:t xml:space="preserve">National Fair Housing Alliance, </w:t>
      </w:r>
      <w:r w:rsidRPr="0055018C">
        <w:rPr>
          <w:rFonts w:ascii="Lato" w:hAnsi="Lato"/>
          <w:sz w:val="18"/>
          <w:szCs w:val="18"/>
        </w:rPr>
        <w:t xml:space="preserve">November 4, 2020, </w:t>
      </w:r>
    </w:p>
    <w:p w14:paraId="1C7F1C67" w14:textId="24CFB6E2" w:rsidR="003257F2" w:rsidRPr="0055018C" w:rsidRDefault="00C25DD9" w:rsidP="16043CCD">
      <w:pPr>
        <w:pStyle w:val="FootnoteText"/>
        <w:rPr>
          <w:rFonts w:ascii="Lato" w:hAnsi="Lato"/>
          <w:sz w:val="18"/>
          <w:szCs w:val="18"/>
        </w:rPr>
      </w:pPr>
      <w:hyperlink r:id="rId1">
        <w:r w:rsidR="003257F2" w:rsidRPr="0055018C">
          <w:rPr>
            <w:rStyle w:val="Hyperlink"/>
            <w:rFonts w:ascii="Lato" w:hAnsi="Lato"/>
            <w:sz w:val="18"/>
            <w:szCs w:val="18"/>
          </w:rPr>
          <w:t>https://nationalfairhousing.org/using-spcps-blog/</w:t>
        </w:r>
      </w:hyperlink>
    </w:p>
  </w:footnote>
  <w:footnote w:id="3">
    <w:p w14:paraId="0E9650E9" w14:textId="252195C6" w:rsidR="003257F2" w:rsidRPr="0055018C" w:rsidRDefault="003257F2" w:rsidP="16043CCD">
      <w:pPr>
        <w:pStyle w:val="FootnoteText"/>
        <w:rPr>
          <w:rFonts w:ascii="Lato" w:hAnsi="Lato"/>
          <w:sz w:val="18"/>
          <w:szCs w:val="18"/>
        </w:rPr>
      </w:pPr>
      <w:r w:rsidRPr="0055018C">
        <w:rPr>
          <w:rStyle w:val="FootnoteReference"/>
          <w:rFonts w:ascii="Lato" w:hAnsi="Lato"/>
          <w:sz w:val="18"/>
          <w:szCs w:val="18"/>
        </w:rPr>
        <w:footnoteRef/>
      </w:r>
      <w:r w:rsidRPr="0055018C">
        <w:rPr>
          <w:rFonts w:ascii="Lato" w:hAnsi="Lato"/>
          <w:sz w:val="18"/>
          <w:szCs w:val="18"/>
        </w:rPr>
        <w:t xml:space="preserve"> Adam Levitin, “How to Start Closing the Racial Wealth Gap,” </w:t>
      </w:r>
      <w:r w:rsidRPr="0055018C">
        <w:rPr>
          <w:rFonts w:ascii="Lato" w:hAnsi="Lato"/>
          <w:i/>
          <w:iCs/>
          <w:sz w:val="18"/>
          <w:szCs w:val="18"/>
        </w:rPr>
        <w:t xml:space="preserve">The American Prospect, </w:t>
      </w:r>
      <w:r w:rsidRPr="0055018C">
        <w:rPr>
          <w:rFonts w:ascii="Lato" w:hAnsi="Lato"/>
          <w:sz w:val="18"/>
          <w:szCs w:val="18"/>
        </w:rPr>
        <w:t xml:space="preserve">June 17, 2020, </w:t>
      </w:r>
      <w:hyperlink r:id="rId2">
        <w:r w:rsidRPr="0055018C">
          <w:rPr>
            <w:rStyle w:val="Hyperlink"/>
            <w:rFonts w:ascii="Lato" w:hAnsi="Lato"/>
            <w:sz w:val="18"/>
            <w:szCs w:val="18"/>
          </w:rPr>
          <w:t>https://prospect.org/economy/how-to-start-closing-the-racial-wealth-gap/</w:t>
        </w:r>
      </w:hyperlink>
    </w:p>
  </w:footnote>
  <w:footnote w:id="4">
    <w:p w14:paraId="09070177" w14:textId="76DFA6F7" w:rsidR="00A01F7F" w:rsidRPr="0055018C" w:rsidRDefault="00A01F7F" w:rsidP="0055018C">
      <w:pPr>
        <w:pStyle w:val="CommentText"/>
        <w:spacing w:after="0"/>
        <w:rPr>
          <w:rFonts w:ascii="Lato" w:hAnsi="Lato"/>
          <w:sz w:val="18"/>
          <w:szCs w:val="18"/>
        </w:rPr>
      </w:pPr>
      <w:r w:rsidRPr="0055018C">
        <w:rPr>
          <w:rStyle w:val="FootnoteReference"/>
          <w:rFonts w:ascii="Lato" w:hAnsi="Lato"/>
          <w:sz w:val="18"/>
          <w:szCs w:val="18"/>
        </w:rPr>
        <w:footnoteRef/>
      </w:r>
      <w:r w:rsidRPr="0055018C">
        <w:rPr>
          <w:rFonts w:ascii="Lato" w:hAnsi="Lato"/>
          <w:sz w:val="18"/>
          <w:szCs w:val="18"/>
        </w:rPr>
        <w:t xml:space="preserve"> </w:t>
      </w:r>
      <w:r w:rsidR="0055018C">
        <w:rPr>
          <w:rFonts w:ascii="Lato" w:hAnsi="Lato"/>
          <w:sz w:val="18"/>
          <w:szCs w:val="18"/>
        </w:rPr>
        <w:t xml:space="preserve">United States Census Bureau, “Demographic Characteristics for Occupied Housing Units,” </w:t>
      </w:r>
      <w:hyperlink r:id="rId3" w:history="1">
        <w:r w:rsidR="0055018C" w:rsidRPr="00781CDF">
          <w:rPr>
            <w:rStyle w:val="Hyperlink"/>
            <w:rFonts w:ascii="Lato" w:hAnsi="Lato"/>
            <w:sz w:val="18"/>
            <w:szCs w:val="18"/>
          </w:rPr>
          <w:t>https://data.census.gov/cedsci/table?q=Tenure&amp;tid=ACSST1Y2019.S2502</w:t>
        </w:r>
      </w:hyperlink>
      <w:r w:rsidRPr="0055018C">
        <w:rPr>
          <w:rStyle w:val="CommentReference"/>
          <w:rFonts w:ascii="Lato" w:hAnsi="Lato"/>
          <w:sz w:val="18"/>
          <w:szCs w:val="18"/>
        </w:rPr>
        <w:t/>
      </w:r>
    </w:p>
  </w:footnote>
  <w:footnote w:id="5">
    <w:p w14:paraId="73D5AD55" w14:textId="0DAE07DF" w:rsidR="002C5481" w:rsidRDefault="002C5481" w:rsidP="002C5481">
      <w:pPr>
        <w:pStyle w:val="FootnoteText"/>
      </w:pPr>
      <w:r w:rsidRPr="0055018C">
        <w:rPr>
          <w:rStyle w:val="FootnoteReference"/>
          <w:rFonts w:ascii="Lato" w:hAnsi="Lato"/>
          <w:sz w:val="18"/>
          <w:szCs w:val="18"/>
        </w:rPr>
        <w:footnoteRef/>
      </w:r>
      <w:r w:rsidRPr="0055018C">
        <w:rPr>
          <w:rFonts w:ascii="Lato" w:hAnsi="Lato"/>
          <w:sz w:val="18"/>
          <w:szCs w:val="18"/>
        </w:rPr>
        <w:t xml:space="preserve"> Kristopher Gerardi, </w:t>
      </w:r>
      <w:hyperlink r:id="rId4" w:history="1">
        <w:r w:rsidRPr="0055018C">
          <w:rPr>
            <w:rFonts w:ascii="Lato" w:hAnsi="Lato"/>
            <w:sz w:val="18"/>
            <w:szCs w:val="18"/>
          </w:rPr>
          <w:t>Paul Willen</w:t>
        </w:r>
      </w:hyperlink>
      <w:r w:rsidRPr="0055018C">
        <w:rPr>
          <w:rFonts w:ascii="Lato" w:hAnsi="Lato"/>
          <w:sz w:val="18"/>
          <w:szCs w:val="18"/>
        </w:rPr>
        <w:t xml:space="preserve">, and David Hao Zhang, Mortgage Prepayment, Race and Monetary Policy. 2020. </w:t>
      </w:r>
      <w:hyperlink r:id="rId5" w:history="1">
        <w:r w:rsidR="0055018C" w:rsidRPr="00781CDF">
          <w:rPr>
            <w:rStyle w:val="Hyperlink"/>
            <w:rFonts w:ascii="Lato" w:hAnsi="Lato"/>
            <w:sz w:val="18"/>
            <w:szCs w:val="18"/>
          </w:rPr>
          <w:t>https://www.bostonfed.org/publications/research-department-working-paper/2020/mortgage-prepayment-race-and-monetary-policy.aspx</w:t>
        </w:r>
      </w:hyperlink>
      <w:r w:rsidR="0055018C">
        <w:rPr>
          <w:rFonts w:ascii="Lato" w:hAnsi="Lato"/>
          <w:sz w:val="18"/>
          <w:szCs w:val="18"/>
        </w:rPr>
        <w:t xml:space="preserve"> </w:t>
      </w:r>
    </w:p>
  </w:footnote>
  <w:footnote w:id="6">
    <w:p w14:paraId="6767922F" w14:textId="77777777" w:rsidR="002C5481" w:rsidRPr="007041F2" w:rsidRDefault="002C5481" w:rsidP="002C5481">
      <w:pPr>
        <w:pStyle w:val="FootnoteText"/>
        <w:rPr>
          <w:rFonts w:ascii="Lato" w:hAnsi="Lato"/>
          <w:sz w:val="18"/>
          <w:szCs w:val="18"/>
        </w:rPr>
      </w:pPr>
      <w:r w:rsidRPr="007041F2">
        <w:rPr>
          <w:rStyle w:val="FootnoteReference"/>
          <w:rFonts w:ascii="Lato" w:hAnsi="Lato"/>
          <w:sz w:val="18"/>
          <w:szCs w:val="18"/>
        </w:rPr>
        <w:footnoteRef/>
      </w:r>
      <w:r w:rsidRPr="007041F2">
        <w:rPr>
          <w:rFonts w:ascii="Lato" w:hAnsi="Lato"/>
          <w:sz w:val="18"/>
          <w:szCs w:val="18"/>
        </w:rPr>
        <w:t xml:space="preserve"> “Almost 50% of Black and Hispanic Borrower Could Save $1,200 Annually by Refinancing”, </w:t>
      </w:r>
      <w:r w:rsidRPr="007041F2">
        <w:rPr>
          <w:rFonts w:ascii="Lato" w:hAnsi="Lato"/>
          <w:i/>
          <w:iCs/>
          <w:sz w:val="18"/>
          <w:szCs w:val="18"/>
        </w:rPr>
        <w:t xml:space="preserve">Freddie Mac, </w:t>
      </w:r>
      <w:r w:rsidRPr="007041F2">
        <w:rPr>
          <w:rFonts w:ascii="Lato" w:hAnsi="Lato"/>
          <w:sz w:val="18"/>
          <w:szCs w:val="18"/>
        </w:rPr>
        <w:t xml:space="preserve">May 12, 2021, </w:t>
      </w:r>
      <w:hyperlink r:id="rId6">
        <w:r w:rsidRPr="007041F2">
          <w:rPr>
            <w:rStyle w:val="Hyperlink"/>
            <w:rFonts w:ascii="Lato" w:hAnsi="Lato"/>
            <w:sz w:val="18"/>
            <w:szCs w:val="18"/>
          </w:rPr>
          <w:t>http://www.freddiemac.com/research/insight/20210512_black_hispanic_borrowers_save_refinancing.page</w:t>
        </w:r>
      </w:hyperlink>
    </w:p>
  </w:footnote>
  <w:footnote w:id="7">
    <w:p w14:paraId="0B5FFC1B" w14:textId="77777777" w:rsidR="002C5481" w:rsidRPr="007041F2" w:rsidRDefault="002C5481" w:rsidP="002C5481">
      <w:pPr>
        <w:pStyle w:val="FootnoteText"/>
        <w:rPr>
          <w:rFonts w:ascii="Lato" w:hAnsi="Lato"/>
          <w:sz w:val="18"/>
          <w:szCs w:val="18"/>
        </w:rPr>
      </w:pPr>
      <w:r w:rsidRPr="007041F2">
        <w:rPr>
          <w:rStyle w:val="FootnoteReference"/>
          <w:rFonts w:ascii="Lato" w:hAnsi="Lato"/>
          <w:sz w:val="18"/>
          <w:szCs w:val="18"/>
        </w:rPr>
        <w:footnoteRef/>
      </w:r>
      <w:r w:rsidRPr="007041F2">
        <w:rPr>
          <w:rFonts w:ascii="Lato" w:hAnsi="Lato"/>
          <w:sz w:val="18"/>
          <w:szCs w:val="18"/>
        </w:rPr>
        <w:t xml:space="preserve"> Jeff Ostrowski, “Black borrowers missed out on mortgage refinancing boom, Fed study finds”, June 23, 2021, </w:t>
      </w:r>
      <w:hyperlink r:id="rId7">
        <w:r w:rsidRPr="007041F2">
          <w:rPr>
            <w:rStyle w:val="Hyperlink"/>
            <w:rFonts w:ascii="Lato" w:hAnsi="Lato"/>
            <w:sz w:val="18"/>
            <w:szCs w:val="18"/>
          </w:rPr>
          <w:t>https://www.bankrate.com/mortgages/black-borrowers-missed-out-on-refinancing-boom/</w:t>
        </w:r>
      </w:hyperlink>
    </w:p>
  </w:footnote>
  <w:footnote w:id="8">
    <w:p w14:paraId="0530F60B" w14:textId="491F61B1" w:rsidR="003257F2" w:rsidRPr="0055018C" w:rsidRDefault="003257F2" w:rsidP="16043CCD">
      <w:pPr>
        <w:pStyle w:val="FootnoteText"/>
        <w:rPr>
          <w:rFonts w:ascii="Lato" w:hAnsi="Lato"/>
          <w:i/>
          <w:iCs/>
          <w:sz w:val="18"/>
          <w:szCs w:val="18"/>
        </w:rPr>
      </w:pPr>
      <w:r w:rsidRPr="0055018C">
        <w:rPr>
          <w:rStyle w:val="FootnoteReference"/>
          <w:rFonts w:ascii="Lato" w:hAnsi="Lato"/>
          <w:sz w:val="18"/>
          <w:szCs w:val="18"/>
        </w:rPr>
        <w:footnoteRef/>
      </w:r>
      <w:r w:rsidRPr="0055018C">
        <w:rPr>
          <w:rFonts w:ascii="Lato" w:hAnsi="Lato"/>
          <w:sz w:val="18"/>
          <w:szCs w:val="18"/>
        </w:rPr>
        <w:t xml:space="preserve"> “New Evidence on Redlining by Federal Housing Programs in the 1930s,” </w:t>
      </w:r>
      <w:r w:rsidRPr="0055018C">
        <w:rPr>
          <w:rFonts w:ascii="Lato" w:hAnsi="Lato"/>
          <w:i/>
          <w:iCs/>
          <w:sz w:val="18"/>
          <w:szCs w:val="18"/>
        </w:rPr>
        <w:t>National Bureau of Economic Research</w:t>
      </w:r>
      <w:r w:rsidRPr="0055018C">
        <w:rPr>
          <w:rFonts w:ascii="Lato" w:hAnsi="Lato"/>
          <w:sz w:val="18"/>
          <w:szCs w:val="18"/>
        </w:rPr>
        <w:t xml:space="preserve">, September 2021, </w:t>
      </w:r>
      <w:hyperlink r:id="rId8">
        <w:r w:rsidRPr="0055018C">
          <w:rPr>
            <w:rStyle w:val="Hyperlink"/>
            <w:rFonts w:ascii="Lato" w:hAnsi="Lato"/>
            <w:sz w:val="18"/>
            <w:szCs w:val="18"/>
          </w:rPr>
          <w:t>https://www.nber.org/papers/w29244</w:t>
        </w:r>
      </w:hyperlink>
    </w:p>
  </w:footnote>
  <w:footnote w:id="9">
    <w:p w14:paraId="5C8114B5" w14:textId="7351E6DB" w:rsidR="003257F2" w:rsidRPr="0055018C" w:rsidRDefault="003257F2" w:rsidP="16043CCD">
      <w:pPr>
        <w:pStyle w:val="FootnoteText"/>
        <w:rPr>
          <w:rFonts w:ascii="Lato" w:hAnsi="Lato"/>
          <w:sz w:val="18"/>
          <w:szCs w:val="18"/>
        </w:rPr>
      </w:pPr>
      <w:r w:rsidRPr="0055018C">
        <w:rPr>
          <w:rStyle w:val="FootnoteReference"/>
          <w:rFonts w:ascii="Lato" w:hAnsi="Lato"/>
          <w:sz w:val="18"/>
          <w:szCs w:val="18"/>
        </w:rPr>
        <w:footnoteRef/>
      </w:r>
      <w:r w:rsidRPr="0055018C">
        <w:rPr>
          <w:rFonts w:ascii="Lato" w:hAnsi="Lato"/>
          <w:sz w:val="18"/>
          <w:szCs w:val="18"/>
        </w:rPr>
        <w:t xml:space="preserve"> Tracy Jan, “Redlining was banned 50 years ago. It’s still hurting minorities today,” </w:t>
      </w:r>
      <w:r w:rsidRPr="0055018C">
        <w:rPr>
          <w:rFonts w:ascii="Lato" w:hAnsi="Lato"/>
          <w:i/>
          <w:iCs/>
          <w:sz w:val="18"/>
          <w:szCs w:val="18"/>
        </w:rPr>
        <w:t xml:space="preserve">Washington Post, </w:t>
      </w:r>
      <w:r w:rsidRPr="0055018C">
        <w:rPr>
          <w:rFonts w:ascii="Lato" w:hAnsi="Lato"/>
          <w:sz w:val="18"/>
          <w:szCs w:val="18"/>
        </w:rPr>
        <w:t xml:space="preserve">March 28, 2018, </w:t>
      </w:r>
      <w:hyperlink r:id="rId9">
        <w:r w:rsidRPr="0055018C">
          <w:rPr>
            <w:rStyle w:val="Hyperlink"/>
            <w:rFonts w:ascii="Lato" w:hAnsi="Lato"/>
            <w:sz w:val="18"/>
            <w:szCs w:val="18"/>
          </w:rPr>
          <w:t>https://www.washingtonpost.com/news/wonk/wp/2018/03/28/redlining-was-banned-50-years-ago-its-still-hurting-minorities-today/</w:t>
        </w:r>
      </w:hyperlink>
    </w:p>
  </w:footnote>
  <w:footnote w:id="10">
    <w:p w14:paraId="71A10869" w14:textId="58850646" w:rsidR="003257F2" w:rsidRPr="0055018C" w:rsidRDefault="003257F2" w:rsidP="16043CCD">
      <w:pPr>
        <w:pStyle w:val="FootnoteText"/>
        <w:rPr>
          <w:rFonts w:ascii="Lato" w:hAnsi="Lato"/>
          <w:sz w:val="18"/>
          <w:szCs w:val="18"/>
        </w:rPr>
      </w:pPr>
      <w:r w:rsidRPr="0055018C">
        <w:rPr>
          <w:rStyle w:val="FootnoteReference"/>
          <w:rFonts w:ascii="Lato" w:hAnsi="Lato"/>
          <w:sz w:val="18"/>
          <w:szCs w:val="18"/>
        </w:rPr>
        <w:footnoteRef/>
      </w:r>
      <w:r w:rsidRPr="0055018C">
        <w:rPr>
          <w:rFonts w:ascii="Lato" w:hAnsi="Lato"/>
          <w:sz w:val="18"/>
          <w:szCs w:val="18"/>
        </w:rPr>
        <w:t xml:space="preserve"> Bruce Mitchell, “HOLC ‘Redlining’ Maps: The Persistent Structure of Segregation and Economic Inequality,” </w:t>
      </w:r>
      <w:r w:rsidRPr="0055018C">
        <w:rPr>
          <w:rFonts w:ascii="Lato" w:hAnsi="Lato"/>
          <w:i/>
          <w:iCs/>
          <w:sz w:val="18"/>
          <w:szCs w:val="18"/>
        </w:rPr>
        <w:t>National Community Reinvestment Coalition</w:t>
      </w:r>
      <w:r w:rsidRPr="0055018C">
        <w:rPr>
          <w:rFonts w:ascii="Lato" w:hAnsi="Lato"/>
          <w:sz w:val="18"/>
          <w:szCs w:val="18"/>
        </w:rPr>
        <w:t xml:space="preserve">, March 20, 2018, </w:t>
      </w:r>
      <w:hyperlink r:id="rId10" w:history="1">
        <w:r w:rsidR="0055018C" w:rsidRPr="00781CDF">
          <w:rPr>
            <w:rStyle w:val="Hyperlink"/>
            <w:rFonts w:ascii="Lato" w:hAnsi="Lato"/>
            <w:sz w:val="18"/>
            <w:szCs w:val="18"/>
          </w:rPr>
          <w:t>https://ncrc.org/holc/</w:t>
        </w:r>
      </w:hyperlink>
      <w:r w:rsidR="0055018C">
        <w:rPr>
          <w:rFonts w:ascii="Lato" w:hAnsi="Lato"/>
          <w:sz w:val="18"/>
          <w:szCs w:val="18"/>
        </w:rPr>
        <w:t xml:space="preserve"> </w:t>
      </w:r>
    </w:p>
  </w:footnote>
  <w:footnote w:id="11">
    <w:p w14:paraId="33705AEE" w14:textId="41C04A96" w:rsidR="003257F2" w:rsidRPr="0055018C" w:rsidRDefault="003257F2" w:rsidP="16043CCD">
      <w:pPr>
        <w:pStyle w:val="FootnoteText"/>
        <w:rPr>
          <w:rFonts w:ascii="Lato" w:eastAsia="Segoe UI" w:hAnsi="Lato" w:cs="Segoe UI"/>
          <w:color w:val="333333"/>
          <w:sz w:val="18"/>
          <w:szCs w:val="18"/>
        </w:rPr>
      </w:pPr>
      <w:r w:rsidRPr="0055018C">
        <w:rPr>
          <w:rStyle w:val="FootnoteReference"/>
          <w:rFonts w:ascii="Lato" w:hAnsi="Lato"/>
          <w:sz w:val="18"/>
          <w:szCs w:val="18"/>
        </w:rPr>
        <w:footnoteRef/>
      </w:r>
      <w:r w:rsidRPr="0055018C">
        <w:rPr>
          <w:rFonts w:ascii="Lato" w:hAnsi="Lato"/>
          <w:sz w:val="18"/>
          <w:szCs w:val="18"/>
        </w:rPr>
        <w:t xml:space="preserve"> Laurie Goodman and Jun Zhu, “The Future of Headship and Homeownership,” </w:t>
      </w:r>
      <w:r w:rsidRPr="0055018C">
        <w:rPr>
          <w:rFonts w:ascii="Lato" w:hAnsi="Lato"/>
          <w:i/>
          <w:iCs/>
          <w:sz w:val="18"/>
          <w:szCs w:val="18"/>
        </w:rPr>
        <w:t>Urban Institute</w:t>
      </w:r>
      <w:r w:rsidRPr="0055018C">
        <w:rPr>
          <w:rFonts w:ascii="Lato" w:hAnsi="Lato"/>
          <w:sz w:val="18"/>
          <w:szCs w:val="18"/>
        </w:rPr>
        <w:t xml:space="preserve">, January 2021, </w:t>
      </w:r>
      <w:hyperlink r:id="rId11" w:history="1">
        <w:r w:rsidR="0055018C" w:rsidRPr="00781CDF">
          <w:rPr>
            <w:rStyle w:val="Hyperlink"/>
            <w:rFonts w:ascii="Lato" w:eastAsia="Segoe UI" w:hAnsi="Lato" w:cs="Segoe UI"/>
            <w:sz w:val="18"/>
            <w:szCs w:val="18"/>
          </w:rPr>
          <w:t>https://www.urban.org/sites/default/files/publication/103501/the-future-of-headship-and-homeownership_0.pdf</w:t>
        </w:r>
      </w:hyperlink>
      <w:r w:rsidR="0055018C">
        <w:rPr>
          <w:rFonts w:ascii="Lato" w:eastAsia="Segoe UI" w:hAnsi="Lato" w:cs="Segoe UI"/>
          <w:color w:val="333333"/>
          <w:sz w:val="18"/>
          <w:szCs w:val="18"/>
        </w:rPr>
        <w:t xml:space="preserve"> </w:t>
      </w:r>
    </w:p>
  </w:footnote>
  <w:footnote w:id="12">
    <w:p w14:paraId="0642D9BF" w14:textId="4E0B86AE" w:rsidR="003257F2" w:rsidRDefault="003257F2" w:rsidP="16043CCD">
      <w:pPr>
        <w:pStyle w:val="FootnoteText"/>
      </w:pPr>
      <w:r w:rsidRPr="0055018C">
        <w:rPr>
          <w:rStyle w:val="FootnoteReference"/>
          <w:rFonts w:ascii="Lato" w:hAnsi="Lato"/>
          <w:sz w:val="18"/>
          <w:szCs w:val="18"/>
        </w:rPr>
        <w:footnoteRef/>
      </w:r>
      <w:r w:rsidRPr="0055018C">
        <w:rPr>
          <w:rFonts w:ascii="Lato" w:hAnsi="Lato"/>
          <w:sz w:val="18"/>
          <w:szCs w:val="18"/>
        </w:rPr>
        <w:t xml:space="preserve"> CITI, “Helping Advance Racial Equity in the Financial Services Industry,” April 2021 </w:t>
      </w:r>
      <w:hyperlink r:id="rId12" w:history="1">
        <w:r w:rsidR="0055018C" w:rsidRPr="00781CDF">
          <w:rPr>
            <w:rStyle w:val="Hyperlink"/>
            <w:rFonts w:ascii="Lato" w:hAnsi="Lato"/>
            <w:sz w:val="18"/>
            <w:szCs w:val="18"/>
          </w:rPr>
          <w:t>https://www.citigroup.com/citi/racial-equity/data/minority-depository-institutions-brochure.pdf</w:t>
        </w:r>
      </w:hyperlink>
      <w:r w:rsidR="0055018C">
        <w:rPr>
          <w:rFonts w:ascii="Lato" w:hAnsi="Lato"/>
          <w:sz w:val="18"/>
          <w:szCs w:val="18"/>
        </w:rPr>
        <w:t xml:space="preserve"> </w:t>
      </w:r>
    </w:p>
  </w:footnote>
  <w:footnote w:id="13">
    <w:p w14:paraId="5C4774D5" w14:textId="2A8EAA64" w:rsidR="00D8599F" w:rsidRPr="0055018C" w:rsidRDefault="00D8599F">
      <w:pPr>
        <w:pStyle w:val="FootnoteText"/>
        <w:rPr>
          <w:rFonts w:ascii="Lato" w:hAnsi="Lato" w:cstheme="minorHAnsi"/>
          <w:sz w:val="18"/>
          <w:szCs w:val="18"/>
        </w:rPr>
      </w:pPr>
      <w:r w:rsidRPr="0055018C">
        <w:rPr>
          <w:rStyle w:val="FootnoteReference"/>
          <w:rFonts w:ascii="Lato" w:hAnsi="Lato"/>
          <w:sz w:val="18"/>
          <w:szCs w:val="18"/>
        </w:rPr>
        <w:footnoteRef/>
      </w:r>
      <w:r w:rsidRPr="0055018C">
        <w:rPr>
          <w:rFonts w:ascii="Lato" w:hAnsi="Lato"/>
          <w:sz w:val="18"/>
          <w:szCs w:val="18"/>
        </w:rPr>
        <w:t xml:space="preserve"> </w:t>
      </w:r>
      <w:r w:rsidRPr="0055018C">
        <w:rPr>
          <w:rFonts w:ascii="Lato" w:hAnsi="Lato" w:cstheme="minorHAnsi"/>
          <w:sz w:val="18"/>
          <w:szCs w:val="18"/>
        </w:rPr>
        <w:t xml:space="preserve">See Moody’s Analytics, </w:t>
      </w:r>
      <w:r w:rsidR="0055018C">
        <w:rPr>
          <w:rFonts w:ascii="Lato" w:hAnsi="Lato" w:cstheme="minorHAnsi"/>
          <w:sz w:val="18"/>
          <w:szCs w:val="18"/>
        </w:rPr>
        <w:t>“</w:t>
      </w:r>
      <w:r w:rsidRPr="0055018C">
        <w:rPr>
          <w:rFonts w:ascii="Lato" w:hAnsi="Lato" w:cstheme="minorHAnsi"/>
          <w:sz w:val="18"/>
          <w:szCs w:val="18"/>
        </w:rPr>
        <w:t>The Macroeconomic Benefits of Racial Integration</w:t>
      </w:r>
      <w:r w:rsidR="0055018C">
        <w:rPr>
          <w:rFonts w:ascii="Lato" w:hAnsi="Lato" w:cstheme="minorHAnsi"/>
          <w:sz w:val="18"/>
          <w:szCs w:val="18"/>
        </w:rPr>
        <w:t>”</w:t>
      </w:r>
      <w:r w:rsidRPr="0055018C">
        <w:rPr>
          <w:rFonts w:ascii="Lato" w:hAnsi="Lato" w:cstheme="minorHAnsi"/>
          <w:sz w:val="18"/>
          <w:szCs w:val="18"/>
        </w:rPr>
        <w:t xml:space="preserve"> at  </w:t>
      </w:r>
      <w:hyperlink r:id="rId13" w:history="1">
        <w:r w:rsidR="0055018C" w:rsidRPr="00781CDF">
          <w:rPr>
            <w:rStyle w:val="Hyperlink"/>
            <w:rFonts w:ascii="Lato" w:hAnsi="Lato" w:cstheme="minorHAnsi"/>
            <w:sz w:val="18"/>
            <w:szCs w:val="18"/>
          </w:rPr>
          <w:t>https://www.moodysanalytics.com/-/media/article/2021/macro-consequences-of-racial-integration.pdf</w:t>
        </w:r>
      </w:hyperlink>
      <w:r w:rsidR="0055018C">
        <w:rPr>
          <w:rFonts w:ascii="Lato" w:hAnsi="Lato" w:cstheme="minorHAnsi"/>
          <w:sz w:val="18"/>
          <w:szCs w:val="18"/>
        </w:rPr>
        <w:t xml:space="preserve"> </w:t>
      </w:r>
      <w:r w:rsidRPr="0055018C">
        <w:rPr>
          <w:rFonts w:ascii="Lato" w:hAnsi="Lato" w:cstheme="minorHAnsi"/>
          <w:sz w:val="18"/>
          <w:szCs w:val="18"/>
        </w:rPr>
        <w:t xml:space="preserve">and Citi, </w:t>
      </w:r>
      <w:r w:rsidR="0055018C">
        <w:rPr>
          <w:rFonts w:ascii="Lato" w:hAnsi="Lato" w:cstheme="minorHAnsi"/>
          <w:sz w:val="18"/>
          <w:szCs w:val="18"/>
        </w:rPr>
        <w:t>“</w:t>
      </w:r>
      <w:r w:rsidRPr="0055018C">
        <w:rPr>
          <w:rFonts w:ascii="Lato" w:hAnsi="Lato" w:cstheme="minorHAnsi"/>
          <w:sz w:val="18"/>
          <w:szCs w:val="18"/>
        </w:rPr>
        <w:t>Closing the Racial Wealth Gaps,</w:t>
      </w:r>
      <w:r w:rsidR="0055018C">
        <w:rPr>
          <w:rFonts w:ascii="Lato" w:hAnsi="Lato" w:cstheme="minorHAnsi"/>
          <w:sz w:val="18"/>
          <w:szCs w:val="18"/>
        </w:rPr>
        <w:t>”</w:t>
      </w:r>
      <w:r w:rsidRPr="0055018C">
        <w:rPr>
          <w:rFonts w:ascii="Lato" w:hAnsi="Lato" w:cstheme="minorHAnsi"/>
          <w:sz w:val="18"/>
          <w:szCs w:val="18"/>
        </w:rPr>
        <w:t xml:space="preserve"> by Dana M. Peterson and Catherine L. Mann</w:t>
      </w:r>
      <w:r w:rsidR="0055018C">
        <w:rPr>
          <w:rFonts w:ascii="Lato" w:hAnsi="Lato" w:cstheme="minorHAnsi"/>
          <w:sz w:val="18"/>
          <w:szCs w:val="18"/>
        </w:rPr>
        <w:t xml:space="preserve">, </w:t>
      </w:r>
      <w:r w:rsidRPr="0055018C">
        <w:rPr>
          <w:rFonts w:ascii="Lato" w:hAnsi="Lato" w:cstheme="minorHAnsi"/>
          <w:sz w:val="18"/>
          <w:szCs w:val="18"/>
        </w:rPr>
        <w:t>2020</w:t>
      </w:r>
      <w:r w:rsidR="0055018C">
        <w:rPr>
          <w:rFonts w:ascii="Lato" w:hAnsi="Lato" w:cstheme="minorHAnsi"/>
          <w:sz w:val="18"/>
          <w:szCs w:val="18"/>
        </w:rPr>
        <w:t xml:space="preserve">, at </w:t>
      </w:r>
      <w:hyperlink r:id="rId14" w:history="1">
        <w:r w:rsidR="0055018C" w:rsidRPr="00781CDF">
          <w:rPr>
            <w:rStyle w:val="Hyperlink"/>
            <w:rFonts w:ascii="Lato" w:hAnsi="Lato" w:cstheme="minorHAnsi"/>
            <w:sz w:val="18"/>
            <w:szCs w:val="18"/>
          </w:rPr>
          <w:t>https://ir.citi.com/NvIUklHPilz14Hwd3oxqZBLMn1_XPqo5FrxsZD0x6hhil84ZxaxEuJUWmak51UHvYk75VKeHCMI%3D</w:t>
        </w:r>
      </w:hyperlink>
      <w:r w:rsidR="0055018C">
        <w:rPr>
          <w:rFonts w:ascii="Lato" w:hAnsi="Lato" w:cstheme="minorHAnsi"/>
          <w:sz w:val="18"/>
          <w:szCs w:val="18"/>
        </w:rPr>
        <w:t>.</w:t>
      </w:r>
    </w:p>
  </w:footnote>
  <w:footnote w:id="14">
    <w:p w14:paraId="11DACB11" w14:textId="661CD408" w:rsidR="003257F2" w:rsidRPr="00F4296E" w:rsidRDefault="003257F2" w:rsidP="16043CCD">
      <w:pPr>
        <w:pStyle w:val="FootnoteText"/>
        <w:rPr>
          <w:rFonts w:ascii="Lato" w:hAnsi="Lato"/>
          <w:sz w:val="18"/>
          <w:szCs w:val="18"/>
        </w:rPr>
      </w:pPr>
      <w:r w:rsidRPr="0055018C">
        <w:rPr>
          <w:rStyle w:val="FootnoteReference"/>
          <w:rFonts w:ascii="Lato" w:hAnsi="Lato"/>
          <w:sz w:val="18"/>
          <w:szCs w:val="18"/>
        </w:rPr>
        <w:footnoteRef/>
      </w:r>
      <w:r w:rsidRPr="0055018C">
        <w:rPr>
          <w:rFonts w:ascii="Lato" w:hAnsi="Lato"/>
          <w:sz w:val="18"/>
          <w:szCs w:val="18"/>
        </w:rPr>
        <w:t xml:space="preserve"> Urban Institute, Housing Credit Availability Index, </w:t>
      </w:r>
      <w:hyperlink r:id="rId15" w:history="1">
        <w:r w:rsidR="0055018C" w:rsidRPr="00781CDF">
          <w:rPr>
            <w:rStyle w:val="Hyperlink"/>
            <w:rFonts w:ascii="Lato" w:hAnsi="Lato"/>
            <w:sz w:val="18"/>
            <w:szCs w:val="18"/>
          </w:rPr>
          <w:t>https://www.urban.org/policy-centers/housing-finance-policy-center/projects/housing-credit-availability-index</w:t>
        </w:r>
      </w:hyperlink>
      <w:r w:rsidR="0055018C">
        <w:rPr>
          <w:rFonts w:ascii="Lato" w:hAnsi="Lato"/>
          <w:sz w:val="18"/>
          <w:szCs w:val="18"/>
        </w:rPr>
        <w:t xml:space="preserve"> </w:t>
      </w:r>
    </w:p>
  </w:footnote>
  <w:footnote w:id="15">
    <w:p w14:paraId="050EEDDA" w14:textId="35A8D456" w:rsidR="003257F2" w:rsidRPr="00F4296E" w:rsidRDefault="003257F2" w:rsidP="16043CCD">
      <w:pPr>
        <w:pStyle w:val="FootnoteText"/>
        <w:rPr>
          <w:rFonts w:ascii="Lato" w:eastAsia="Times New Roman" w:hAnsi="Lato" w:cs="Times New Roman"/>
          <w:color w:val="000000" w:themeColor="text1"/>
          <w:sz w:val="18"/>
          <w:szCs w:val="18"/>
        </w:rPr>
      </w:pPr>
      <w:r w:rsidRPr="00F4296E">
        <w:rPr>
          <w:rStyle w:val="FootnoteReference"/>
          <w:rFonts w:ascii="Lato" w:hAnsi="Lato"/>
          <w:sz w:val="18"/>
          <w:szCs w:val="18"/>
        </w:rPr>
        <w:footnoteRef/>
      </w:r>
      <w:r w:rsidRPr="00F4296E">
        <w:rPr>
          <w:rFonts w:ascii="Lato" w:hAnsi="Lato"/>
          <w:sz w:val="18"/>
          <w:szCs w:val="18"/>
        </w:rPr>
        <w:t xml:space="preserve"> Liam Reynolds, Vanessa Perry, Jung Hyun Choi, ”Closing the Homeownership Gap Will Require Rooting Systemic Racism Out of Mortgage Underwriting,” </w:t>
      </w:r>
      <w:r w:rsidRPr="00F4296E">
        <w:rPr>
          <w:rFonts w:ascii="Lato" w:hAnsi="Lato"/>
          <w:i/>
          <w:iCs/>
          <w:sz w:val="18"/>
          <w:szCs w:val="18"/>
        </w:rPr>
        <w:t>Urban Institute</w:t>
      </w:r>
      <w:r w:rsidRPr="00F4296E">
        <w:rPr>
          <w:rFonts w:ascii="Lato" w:hAnsi="Lato"/>
          <w:sz w:val="18"/>
          <w:szCs w:val="18"/>
        </w:rPr>
        <w:t xml:space="preserve">, October 13, 2021, </w:t>
      </w:r>
      <w:hyperlink r:id="rId16" w:history="1">
        <w:r w:rsidR="00EB1983" w:rsidRPr="00781CDF">
          <w:rPr>
            <w:rStyle w:val="Hyperlink"/>
            <w:rFonts w:ascii="Lato" w:hAnsi="Lato"/>
            <w:sz w:val="18"/>
            <w:szCs w:val="18"/>
          </w:rPr>
          <w:t>https://www.urban.org/urban-wire/closing-homeownership-gap-will-require-rooting-systemic-racism-out-mortgage-underwriting</w:t>
        </w:r>
      </w:hyperlink>
      <w:r w:rsidR="00EB1983">
        <w:rPr>
          <w:rFonts w:ascii="Lato" w:hAnsi="Lato"/>
          <w:sz w:val="18"/>
          <w:szCs w:val="18"/>
        </w:rPr>
        <w:t xml:space="preserve"> </w:t>
      </w:r>
    </w:p>
  </w:footnote>
  <w:footnote w:id="16">
    <w:p w14:paraId="527FEC89" w14:textId="59114176" w:rsidR="002C5481" w:rsidRPr="00304A6C" w:rsidRDefault="002C5481" w:rsidP="002C5481">
      <w:pPr>
        <w:pStyle w:val="FootnoteText"/>
        <w:rPr>
          <w:rFonts w:ascii="Lato" w:hAnsi="Lato"/>
          <w:sz w:val="18"/>
          <w:szCs w:val="18"/>
        </w:rPr>
      </w:pPr>
      <w:r w:rsidRPr="00304A6C">
        <w:rPr>
          <w:rStyle w:val="FootnoteReference"/>
          <w:rFonts w:ascii="Lato" w:hAnsi="Lato"/>
          <w:sz w:val="18"/>
          <w:szCs w:val="18"/>
        </w:rPr>
        <w:footnoteRef/>
      </w:r>
      <w:r w:rsidRPr="00304A6C">
        <w:rPr>
          <w:rFonts w:ascii="Lato" w:hAnsi="Lato"/>
          <w:sz w:val="18"/>
          <w:szCs w:val="18"/>
        </w:rPr>
        <w:t xml:space="preserve"> Lisa Rice, ”Using Special Purpose Credit Programs to Expand Equity,” </w:t>
      </w:r>
      <w:r w:rsidRPr="00304A6C">
        <w:rPr>
          <w:rFonts w:ascii="Lato" w:hAnsi="Lato"/>
          <w:i/>
          <w:iCs/>
          <w:sz w:val="18"/>
          <w:szCs w:val="18"/>
        </w:rPr>
        <w:t xml:space="preserve">National Fair Housing Alliance, </w:t>
      </w:r>
      <w:r w:rsidRPr="00304A6C">
        <w:rPr>
          <w:rFonts w:ascii="Lato" w:hAnsi="Lato"/>
          <w:sz w:val="18"/>
          <w:szCs w:val="18"/>
        </w:rPr>
        <w:t xml:space="preserve">November 4, 2020, </w:t>
      </w:r>
      <w:hyperlink r:id="rId17" w:history="1">
        <w:r w:rsidR="00EB1983" w:rsidRPr="00781CDF">
          <w:rPr>
            <w:rStyle w:val="Hyperlink"/>
            <w:rFonts w:ascii="Lato" w:hAnsi="Lato"/>
            <w:sz w:val="18"/>
            <w:szCs w:val="18"/>
          </w:rPr>
          <w:t>https://nationalfairhousing.org/using-spcps-blog/</w:t>
        </w:r>
      </w:hyperlink>
      <w:r w:rsidR="00EB1983">
        <w:rPr>
          <w:rFonts w:ascii="Lato" w:hAnsi="Lato"/>
          <w:sz w:val="18"/>
          <w:szCs w:val="18"/>
        </w:rPr>
        <w:t xml:space="preserve"> </w:t>
      </w:r>
    </w:p>
  </w:footnote>
  <w:footnote w:id="17">
    <w:p w14:paraId="3D42EF62" w14:textId="611F854D" w:rsidR="003257F2" w:rsidRPr="00304A6C" w:rsidRDefault="003257F2" w:rsidP="16043CCD">
      <w:pPr>
        <w:pStyle w:val="FootnoteText"/>
        <w:rPr>
          <w:rFonts w:ascii="Lato" w:hAnsi="Lato"/>
          <w:sz w:val="18"/>
          <w:szCs w:val="18"/>
        </w:rPr>
      </w:pPr>
      <w:r w:rsidRPr="00304A6C">
        <w:rPr>
          <w:rStyle w:val="FootnoteReference"/>
          <w:rFonts w:ascii="Lato" w:hAnsi="Lato"/>
          <w:sz w:val="18"/>
          <w:szCs w:val="18"/>
        </w:rPr>
        <w:footnoteRef/>
      </w:r>
      <w:r w:rsidRPr="00304A6C">
        <w:rPr>
          <w:rFonts w:ascii="Lato" w:hAnsi="Lato"/>
          <w:sz w:val="18"/>
          <w:szCs w:val="18"/>
        </w:rPr>
        <w:t xml:space="preserve"> Anand S. Raman, Darren M. Welch</w:t>
      </w:r>
      <w:r w:rsidR="00F801B4" w:rsidRPr="00304A6C">
        <w:rPr>
          <w:rFonts w:ascii="Lato" w:hAnsi="Lato"/>
          <w:sz w:val="18"/>
          <w:szCs w:val="18"/>
        </w:rPr>
        <w:t>,” Special</w:t>
      </w:r>
      <w:r w:rsidRPr="00304A6C">
        <w:rPr>
          <w:rFonts w:ascii="Lato" w:hAnsi="Lato"/>
          <w:sz w:val="18"/>
          <w:szCs w:val="18"/>
        </w:rPr>
        <w:t xml:space="preserve"> Purpose Credit Programs—Taking a Second Look at a Familiar Tool,” </w:t>
      </w:r>
      <w:r w:rsidRPr="00304A6C">
        <w:rPr>
          <w:rFonts w:ascii="Lato" w:hAnsi="Lato"/>
          <w:i/>
          <w:iCs/>
          <w:sz w:val="18"/>
          <w:szCs w:val="18"/>
        </w:rPr>
        <w:t xml:space="preserve">Skadden, </w:t>
      </w:r>
      <w:r w:rsidRPr="00304A6C">
        <w:rPr>
          <w:rFonts w:ascii="Lato" w:hAnsi="Lato"/>
          <w:sz w:val="18"/>
          <w:szCs w:val="18"/>
        </w:rPr>
        <w:t xml:space="preserve">July 29, 2020. </w:t>
      </w:r>
      <w:hyperlink r:id="rId18" w:history="1">
        <w:r w:rsidR="00EB1983" w:rsidRPr="00781CDF">
          <w:rPr>
            <w:rStyle w:val="Hyperlink"/>
            <w:rFonts w:ascii="Lato" w:hAnsi="Lato"/>
            <w:sz w:val="18"/>
            <w:szCs w:val="18"/>
          </w:rPr>
          <w:t>https://www.skadden.com/en/insights/publications/2020/07/special-purpose-credit-programs</w:t>
        </w:r>
      </w:hyperlink>
      <w:r w:rsidR="00EB1983">
        <w:rPr>
          <w:rFonts w:ascii="Lato" w:hAnsi="Lato"/>
          <w:sz w:val="18"/>
          <w:szCs w:val="18"/>
        </w:rPr>
        <w:t xml:space="preserve"> </w:t>
      </w:r>
    </w:p>
  </w:footnote>
  <w:footnote w:id="18">
    <w:p w14:paraId="434A9EF4" w14:textId="04980EFC" w:rsidR="003257F2" w:rsidRPr="00304A6C" w:rsidRDefault="003257F2" w:rsidP="16043CCD">
      <w:pPr>
        <w:pStyle w:val="FootnoteText"/>
        <w:rPr>
          <w:rFonts w:ascii="Lato" w:hAnsi="Lato"/>
          <w:sz w:val="18"/>
          <w:szCs w:val="18"/>
        </w:rPr>
      </w:pPr>
      <w:r w:rsidRPr="00304A6C">
        <w:rPr>
          <w:rStyle w:val="FootnoteReference"/>
          <w:rFonts w:ascii="Lato" w:hAnsi="Lato"/>
          <w:sz w:val="18"/>
          <w:szCs w:val="18"/>
        </w:rPr>
        <w:footnoteRef/>
      </w:r>
      <w:r w:rsidRPr="00304A6C">
        <w:rPr>
          <w:rFonts w:ascii="Lato" w:hAnsi="Lato"/>
          <w:sz w:val="18"/>
          <w:szCs w:val="18"/>
        </w:rPr>
        <w:t xml:space="preserve"> Consumer Financial Protection Bureau, ”Advisory Opinion on Special Purpose Credit Programs,” </w:t>
      </w:r>
      <w:hyperlink r:id="rId19" w:history="1">
        <w:r w:rsidR="00EB1983" w:rsidRPr="00781CDF">
          <w:rPr>
            <w:rStyle w:val="Hyperlink"/>
            <w:rFonts w:ascii="Lato" w:hAnsi="Lato"/>
            <w:sz w:val="18"/>
            <w:szCs w:val="18"/>
          </w:rPr>
          <w:t>https://www.consumerfinance.gov/rules-policy/final-rules/advisory-opinion-on-special-purpose-credit-programs/</w:t>
        </w:r>
      </w:hyperlink>
      <w:r w:rsidR="00EB1983">
        <w:rPr>
          <w:rFonts w:ascii="Lato" w:hAnsi="Lato"/>
          <w:sz w:val="18"/>
          <w:szCs w:val="18"/>
        </w:rPr>
        <w:t xml:space="preserve"> </w:t>
      </w:r>
    </w:p>
  </w:footnote>
  <w:footnote w:id="19">
    <w:p w14:paraId="6FD5B8CF" w14:textId="54F7B588" w:rsidR="003257F2" w:rsidRPr="00304A6C" w:rsidRDefault="003257F2" w:rsidP="16043CCD">
      <w:pPr>
        <w:pStyle w:val="FootnoteText"/>
        <w:rPr>
          <w:rFonts w:ascii="Lato" w:hAnsi="Lato"/>
          <w:sz w:val="18"/>
          <w:szCs w:val="18"/>
        </w:rPr>
      </w:pPr>
      <w:r w:rsidRPr="00304A6C">
        <w:rPr>
          <w:rStyle w:val="FootnoteReference"/>
          <w:rFonts w:ascii="Lato" w:hAnsi="Lato"/>
          <w:sz w:val="18"/>
          <w:szCs w:val="18"/>
        </w:rPr>
        <w:footnoteRef/>
      </w:r>
      <w:r w:rsidRPr="00304A6C">
        <w:rPr>
          <w:rFonts w:ascii="Lato" w:hAnsi="Lato"/>
          <w:sz w:val="18"/>
          <w:szCs w:val="18"/>
        </w:rPr>
        <w:t xml:space="preserve"> U.S. Department of the Treasury, ”Treasury Department and FHFA Amend Terms of Preferred Stock Purchase Agreements for Fannie Mae and Freddie Mac,” January 14, 2021, </w:t>
      </w:r>
      <w:hyperlink r:id="rId20" w:history="1">
        <w:r w:rsidR="00EB1983" w:rsidRPr="00781CDF">
          <w:rPr>
            <w:rStyle w:val="Hyperlink"/>
            <w:rFonts w:ascii="Lato" w:hAnsi="Lato"/>
            <w:sz w:val="18"/>
            <w:szCs w:val="18"/>
          </w:rPr>
          <w:t>https://home.treasury.gov/news/press-releases/sm1236</w:t>
        </w:r>
      </w:hyperlink>
      <w:r w:rsidR="00EB1983">
        <w:rPr>
          <w:rFonts w:ascii="Lato" w:hAnsi="Lato"/>
          <w:sz w:val="18"/>
          <w:szCs w:val="18"/>
        </w:rPr>
        <w:t xml:space="preserve"> </w:t>
      </w:r>
    </w:p>
  </w:footnote>
  <w:footnote w:id="20">
    <w:p w14:paraId="4602A847" w14:textId="12A8A484" w:rsidR="003257F2" w:rsidRPr="00EB1983" w:rsidRDefault="003257F2" w:rsidP="16043CC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Rachel Breer, Felicia Ionescu, Geng Li, ”Are Income and Credit Scores Highly Correlated,” </w:t>
      </w:r>
      <w:r w:rsidRPr="00EB1983">
        <w:rPr>
          <w:rFonts w:ascii="Lato" w:hAnsi="Lato"/>
          <w:i/>
          <w:iCs/>
          <w:sz w:val="18"/>
          <w:szCs w:val="18"/>
        </w:rPr>
        <w:t>Federal Reserve,</w:t>
      </w:r>
      <w:r w:rsidRPr="00EB1983">
        <w:rPr>
          <w:rFonts w:ascii="Lato" w:hAnsi="Lato"/>
          <w:sz w:val="18"/>
          <w:szCs w:val="18"/>
        </w:rPr>
        <w:t xml:space="preserve"> August 13, 2018, </w:t>
      </w:r>
      <w:hyperlink r:id="rId21" w:history="1">
        <w:r w:rsidR="00EB1983" w:rsidRPr="00781CDF">
          <w:rPr>
            <w:rStyle w:val="Hyperlink"/>
            <w:rFonts w:ascii="Lato" w:hAnsi="Lato"/>
            <w:sz w:val="18"/>
            <w:szCs w:val="18"/>
          </w:rPr>
          <w:t>https://www.federalreserve.gov/econres/notes/feds-notes/are-income-and-credit-scores-highly-correlated-20180813.htm</w:t>
        </w:r>
      </w:hyperlink>
      <w:r w:rsidR="00EB1983">
        <w:rPr>
          <w:rFonts w:ascii="Lato" w:hAnsi="Lato"/>
          <w:sz w:val="18"/>
          <w:szCs w:val="18"/>
        </w:rPr>
        <w:t xml:space="preserve"> </w:t>
      </w:r>
    </w:p>
  </w:footnote>
  <w:footnote w:id="21">
    <w:p w14:paraId="4EBA1E87" w14:textId="0D770E85" w:rsidR="003257F2" w:rsidRPr="00EB1983" w:rsidRDefault="003257F2" w:rsidP="16043CC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Adam J. Levitin, ”How to Start Closing the Racial Wealth Gap, </w:t>
      </w:r>
      <w:r w:rsidRPr="00EB1983">
        <w:rPr>
          <w:rFonts w:ascii="Lato" w:hAnsi="Lato"/>
          <w:i/>
          <w:iCs/>
          <w:sz w:val="18"/>
          <w:szCs w:val="18"/>
        </w:rPr>
        <w:t xml:space="preserve">The American Prospect, </w:t>
      </w:r>
      <w:r w:rsidRPr="00EB1983">
        <w:rPr>
          <w:rFonts w:ascii="Lato" w:hAnsi="Lato"/>
          <w:sz w:val="18"/>
          <w:szCs w:val="18"/>
        </w:rPr>
        <w:t xml:space="preserve">June 17, 2020, </w:t>
      </w:r>
      <w:hyperlink r:id="rId22" w:history="1">
        <w:r w:rsidR="00EB1983" w:rsidRPr="00781CDF">
          <w:rPr>
            <w:rStyle w:val="Hyperlink"/>
            <w:rFonts w:ascii="Lato" w:hAnsi="Lato"/>
            <w:sz w:val="18"/>
            <w:szCs w:val="18"/>
          </w:rPr>
          <w:t>https://prospect.org/economy/how-to-start-closing-the-racial-wealth-gap/</w:t>
        </w:r>
      </w:hyperlink>
      <w:r w:rsidR="00EB1983">
        <w:rPr>
          <w:rFonts w:ascii="Lato" w:hAnsi="Lato"/>
          <w:sz w:val="18"/>
          <w:szCs w:val="18"/>
        </w:rPr>
        <w:t xml:space="preserve"> </w:t>
      </w:r>
    </w:p>
  </w:footnote>
  <w:footnote w:id="22">
    <w:p w14:paraId="70689A48" w14:textId="37B04DDD" w:rsidR="00B270AD" w:rsidRPr="00EB1983" w:rsidRDefault="00B270AD" w:rsidP="00B270A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Janneke Ratcliffe, Carlos Martin, Ellen Seidman,</w:t>
      </w:r>
      <w:r w:rsidR="00EB1983">
        <w:rPr>
          <w:rFonts w:ascii="Lato" w:hAnsi="Lato"/>
          <w:sz w:val="18"/>
          <w:szCs w:val="18"/>
        </w:rPr>
        <w:t xml:space="preserve"> “</w:t>
      </w:r>
      <w:r w:rsidRPr="00EB1983">
        <w:rPr>
          <w:rFonts w:ascii="Lato" w:hAnsi="Lato"/>
          <w:sz w:val="18"/>
          <w:szCs w:val="18"/>
        </w:rPr>
        <w:t xml:space="preserve">Three Ways the Housing Finance System can Protect All Homeowners from the Escalating Effects of Climate Change,” </w:t>
      </w:r>
      <w:r w:rsidRPr="00EB1983">
        <w:rPr>
          <w:rFonts w:ascii="Lato" w:hAnsi="Lato"/>
          <w:i/>
          <w:iCs/>
          <w:sz w:val="18"/>
          <w:szCs w:val="18"/>
        </w:rPr>
        <w:t xml:space="preserve">Urban Institute, </w:t>
      </w:r>
      <w:hyperlink r:id="rId23" w:history="1">
        <w:r w:rsidR="00EB1983" w:rsidRPr="00EB1983">
          <w:rPr>
            <w:rStyle w:val="Hyperlink"/>
            <w:rFonts w:ascii="Lato" w:hAnsi="Lato"/>
            <w:sz w:val="18"/>
            <w:szCs w:val="18"/>
          </w:rPr>
          <w:t>https://www.urban.org/urban-wire/three-ways-housing-finance-system-can-protect-all-homeowners-escalating-effects-climate-change</w:t>
        </w:r>
      </w:hyperlink>
      <w:r w:rsidR="00EB1983">
        <w:rPr>
          <w:rFonts w:ascii="Lato" w:hAnsi="Lato"/>
          <w:i/>
          <w:iCs/>
          <w:sz w:val="18"/>
          <w:szCs w:val="18"/>
        </w:rPr>
        <w:t xml:space="preserve"> </w:t>
      </w:r>
    </w:p>
  </w:footnote>
  <w:footnote w:id="23">
    <w:p w14:paraId="4F5532B7" w14:textId="01A7FB18" w:rsidR="0036027B" w:rsidRDefault="0036027B" w:rsidP="0036027B">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11 42 U.S.C. 3608(d); 42 U.S.C. 3601 et seq.</w:t>
      </w:r>
    </w:p>
    <w:p w14:paraId="24587919" w14:textId="77777777" w:rsidR="00EB1983" w:rsidRPr="00EB1983" w:rsidRDefault="00EB1983" w:rsidP="0036027B">
      <w:pPr>
        <w:pStyle w:val="FootnoteText"/>
        <w:rPr>
          <w:rFonts w:ascii="Lato" w:hAnsi="Lato"/>
          <w:sz w:val="18"/>
          <w:szCs w:val="18"/>
        </w:rPr>
      </w:pPr>
    </w:p>
  </w:footnote>
  <w:footnote w:id="24">
    <w:p w14:paraId="63EF6E5C" w14:textId="77777777" w:rsidR="0036027B" w:rsidRPr="00EB1983" w:rsidRDefault="0036027B" w:rsidP="0036027B">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w:t>
      </w:r>
      <w:hyperlink r:id="rId24" w:history="1">
        <w:r w:rsidRPr="00EB1983">
          <w:rPr>
            <w:rFonts w:ascii="Lato" w:hAnsi="Lato"/>
            <w:sz w:val="18"/>
            <w:szCs w:val="18"/>
          </w:rPr>
          <w:t>Margery Austin Turner</w:t>
        </w:r>
      </w:hyperlink>
      <w:r w:rsidRPr="00EB1983">
        <w:rPr>
          <w:rFonts w:ascii="Lato" w:hAnsi="Lato"/>
          <w:sz w:val="18"/>
          <w:szCs w:val="18"/>
        </w:rPr>
        <w:t xml:space="preserve">, </w:t>
      </w:r>
      <w:hyperlink r:id="rId25" w:history="1">
        <w:r w:rsidRPr="00EB1983">
          <w:rPr>
            <w:rFonts w:ascii="Lato" w:hAnsi="Lato"/>
            <w:sz w:val="18"/>
            <w:szCs w:val="18"/>
          </w:rPr>
          <w:t>Xavier de Souza Briggs</w:t>
        </w:r>
      </w:hyperlink>
      <w:r w:rsidRPr="00EB1983">
        <w:rPr>
          <w:rFonts w:ascii="Lato" w:hAnsi="Lato"/>
          <w:sz w:val="18"/>
          <w:szCs w:val="18"/>
        </w:rPr>
        <w:t xml:space="preserve">, </w:t>
      </w:r>
      <w:hyperlink r:id="rId26" w:history="1">
        <w:r w:rsidRPr="00EB1983">
          <w:rPr>
            <w:rFonts w:ascii="Lato" w:hAnsi="Lato"/>
            <w:sz w:val="18"/>
            <w:szCs w:val="18"/>
          </w:rPr>
          <w:t>Ashleigh Gardere</w:t>
        </w:r>
      </w:hyperlink>
      <w:r w:rsidRPr="00EB1983">
        <w:rPr>
          <w:rFonts w:ascii="Lato" w:hAnsi="Lato"/>
          <w:sz w:val="18"/>
          <w:szCs w:val="18"/>
        </w:rPr>
        <w:t xml:space="preserve"> and </w:t>
      </w:r>
      <w:hyperlink r:id="rId27" w:history="1">
        <w:r w:rsidRPr="00EB1983">
          <w:rPr>
            <w:rFonts w:ascii="Lato" w:hAnsi="Lato"/>
            <w:sz w:val="18"/>
            <w:szCs w:val="18"/>
          </w:rPr>
          <w:t>Solomon Greene</w:t>
        </w:r>
      </w:hyperlink>
      <w:r w:rsidRPr="00EB1983">
        <w:rPr>
          <w:rFonts w:ascii="Lato" w:hAnsi="Lato"/>
          <w:sz w:val="18"/>
          <w:szCs w:val="18"/>
        </w:rPr>
        <w:t xml:space="preserve">, </w:t>
      </w:r>
      <w:r w:rsidRPr="00EB1983">
        <w:rPr>
          <w:rFonts w:ascii="Lato" w:hAnsi="Lato"/>
          <w:i/>
          <w:iCs/>
          <w:sz w:val="18"/>
          <w:szCs w:val="18"/>
        </w:rPr>
        <w:t>Federal Tools to Create Places of Opportunity for All</w:t>
      </w:r>
      <w:r w:rsidRPr="00EB1983">
        <w:rPr>
          <w:rFonts w:ascii="Lato" w:hAnsi="Lato"/>
          <w:sz w:val="18"/>
          <w:szCs w:val="18"/>
        </w:rPr>
        <w:t xml:space="preserve"> (Urban Institute, October 2020) available at </w:t>
      </w:r>
      <w:hyperlink r:id="rId28" w:history="1">
        <w:r w:rsidRPr="00EB1983">
          <w:rPr>
            <w:rStyle w:val="Hyperlink"/>
            <w:rFonts w:ascii="Lato" w:hAnsi="Lato"/>
            <w:sz w:val="18"/>
            <w:szCs w:val="18"/>
          </w:rPr>
          <w:t>https://www.urban.org/research/publication/federal-tools-create-places-opportunity-all</w:t>
        </w:r>
      </w:hyperlink>
      <w:r w:rsidRPr="00EB1983">
        <w:rPr>
          <w:rFonts w:ascii="Lato" w:hAnsi="Lato"/>
          <w:sz w:val="18"/>
          <w:szCs w:val="18"/>
        </w:rPr>
        <w:t xml:space="preserve">; Memorandum on Redressing Our Nation’s and the Federal Government’s History of Discriminatory Housing Practices and Policies (White House, January 2021), available at </w:t>
      </w:r>
      <w:hyperlink r:id="rId29" w:history="1">
        <w:r w:rsidRPr="00EB1983">
          <w:rPr>
            <w:rStyle w:val="Hyperlink"/>
            <w:rFonts w:ascii="Lato" w:hAnsi="Lato"/>
            <w:sz w:val="18"/>
            <w:szCs w:val="18"/>
          </w:rPr>
          <w:t>https://www.whitehouse.gov/briefing-room/presidential-actions/2021/01/26/memorandum-on-redressing-our-nations-and-the-federal-governments-history-of-discriminatory-housing-practices-and-policies/</w:t>
        </w:r>
      </w:hyperlink>
      <w:r w:rsidRPr="00EB1983">
        <w:rPr>
          <w:rFonts w:ascii="Lato" w:hAnsi="Lato"/>
          <w:sz w:val="18"/>
          <w:szCs w:val="18"/>
        </w:rPr>
        <w:t xml:space="preserve">; </w:t>
      </w:r>
      <w:hyperlink r:id="rId30" w:history="1">
        <w:r w:rsidRPr="00EB1983">
          <w:rPr>
            <w:rFonts w:ascii="Lato" w:hAnsi="Lato"/>
            <w:sz w:val="18"/>
            <w:szCs w:val="18"/>
          </w:rPr>
          <w:t>Solomon Greene</w:t>
        </w:r>
      </w:hyperlink>
      <w:r w:rsidRPr="00EB1983">
        <w:rPr>
          <w:rFonts w:ascii="Lato" w:hAnsi="Lato"/>
          <w:sz w:val="18"/>
          <w:szCs w:val="18"/>
        </w:rPr>
        <w:t xml:space="preserve">, </w:t>
      </w:r>
      <w:hyperlink r:id="rId31" w:history="1">
        <w:r w:rsidRPr="00EB1983">
          <w:rPr>
            <w:rFonts w:ascii="Lato" w:hAnsi="Lato"/>
            <w:sz w:val="18"/>
            <w:szCs w:val="18"/>
          </w:rPr>
          <w:t>Martha M. Galvez</w:t>
        </w:r>
      </w:hyperlink>
      <w:r w:rsidRPr="00EB1983">
        <w:rPr>
          <w:rFonts w:ascii="Lato" w:hAnsi="Lato"/>
          <w:sz w:val="18"/>
          <w:szCs w:val="18"/>
        </w:rPr>
        <w:t xml:space="preserve">, </w:t>
      </w:r>
      <w:hyperlink r:id="rId32" w:history="1">
        <w:r w:rsidRPr="00EB1983">
          <w:rPr>
            <w:rFonts w:ascii="Lato" w:hAnsi="Lato"/>
            <w:sz w:val="18"/>
            <w:szCs w:val="18"/>
          </w:rPr>
          <w:t>Kriti Ramakrishnan</w:t>
        </w:r>
      </w:hyperlink>
      <w:r w:rsidRPr="00EB1983">
        <w:rPr>
          <w:rFonts w:ascii="Lato" w:hAnsi="Lato"/>
          <w:sz w:val="18"/>
          <w:szCs w:val="18"/>
        </w:rPr>
        <w:t xml:space="preserve"> and </w:t>
      </w:r>
      <w:hyperlink r:id="rId33" w:history="1">
        <w:r w:rsidRPr="00EB1983">
          <w:rPr>
            <w:rFonts w:ascii="Lato" w:hAnsi="Lato"/>
            <w:sz w:val="18"/>
            <w:szCs w:val="18"/>
          </w:rPr>
          <w:t>Madeline Brown</w:t>
        </w:r>
      </w:hyperlink>
      <w:r w:rsidRPr="00EB1983">
        <w:rPr>
          <w:rFonts w:ascii="Lato" w:hAnsi="Lato"/>
          <w:i/>
          <w:iCs/>
          <w:sz w:val="18"/>
          <w:szCs w:val="18"/>
        </w:rPr>
        <w:t>, HUD Ignores Evidence on Discrimination, Segregation and Concentrated Poverty in Fair Housing Proposal: Public Comment on the Proposed Rule Change on Affirmatively Furthering Fair Housing</w:t>
      </w:r>
      <w:r w:rsidRPr="00EB1983">
        <w:rPr>
          <w:rFonts w:ascii="Lato" w:hAnsi="Lato"/>
          <w:sz w:val="18"/>
          <w:szCs w:val="18"/>
        </w:rPr>
        <w:t xml:space="preserve"> (Urban Institute, March 2020), available at </w:t>
      </w:r>
      <w:hyperlink r:id="rId34" w:history="1">
        <w:r w:rsidRPr="00EB1983">
          <w:rPr>
            <w:rStyle w:val="Hyperlink"/>
            <w:rFonts w:ascii="Lato" w:hAnsi="Lato"/>
            <w:sz w:val="18"/>
            <w:szCs w:val="18"/>
          </w:rPr>
          <w:t>https://www.urban.org/research/publication/hud-ignores-evidence-discrimination-segregation-and-concentrated-poverty-fair-housing-proposal</w:t>
        </w:r>
      </w:hyperlink>
      <w:r w:rsidRPr="00EB1983">
        <w:rPr>
          <w:rFonts w:ascii="Lato" w:hAnsi="Lato"/>
          <w:sz w:val="18"/>
          <w:szCs w:val="18"/>
        </w:rPr>
        <w:t>.</w:t>
      </w:r>
    </w:p>
  </w:footnote>
  <w:footnote w:id="25">
    <w:p w14:paraId="4CCE2554" w14:textId="570B059B" w:rsidR="003257F2" w:rsidRPr="00EB1983" w:rsidRDefault="003257F2" w:rsidP="16043CC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Code of Federal Regulations, ”Affirmatively Further Fair Housing,” </w:t>
      </w:r>
      <w:hyperlink r:id="rId35" w:history="1">
        <w:r w:rsidR="00EB1983" w:rsidRPr="00781CDF">
          <w:rPr>
            <w:rStyle w:val="Hyperlink"/>
            <w:rFonts w:ascii="Lato" w:hAnsi="Lato"/>
            <w:sz w:val="18"/>
            <w:szCs w:val="18"/>
          </w:rPr>
          <w:t>https://www.ecfr.gov/current/title-24/subtitle-A/part-5/subpart-A/subject-group-ECFRb064b8192adda7c/section-5.151</w:t>
        </w:r>
      </w:hyperlink>
      <w:r w:rsidR="00EB1983">
        <w:rPr>
          <w:rFonts w:ascii="Lato" w:hAnsi="Lato"/>
          <w:sz w:val="18"/>
          <w:szCs w:val="18"/>
        </w:rPr>
        <w:t xml:space="preserve"> </w:t>
      </w:r>
    </w:p>
  </w:footnote>
  <w:footnote w:id="26">
    <w:p w14:paraId="05513CA6" w14:textId="01B34C8E" w:rsidR="003257F2" w:rsidRPr="00EB1983" w:rsidRDefault="003257F2" w:rsidP="16043CC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Code of Federal Regulations, ”Affirmatively Further Fair Housing,” </w:t>
      </w:r>
      <w:hyperlink r:id="rId36" w:history="1">
        <w:r w:rsidR="00EB1983" w:rsidRPr="00781CDF">
          <w:rPr>
            <w:rStyle w:val="Hyperlink"/>
            <w:rFonts w:ascii="Lato" w:hAnsi="Lato"/>
            <w:sz w:val="18"/>
            <w:szCs w:val="18"/>
          </w:rPr>
          <w:t>https://www.ecfr.gov/current/title-24/subtitle-A/part-5/subpart-A/subject-group-ECFRb064b8192adda7c/section-5.151</w:t>
        </w:r>
      </w:hyperlink>
      <w:r w:rsidR="00EB1983">
        <w:rPr>
          <w:rFonts w:ascii="Lato" w:hAnsi="Lato"/>
          <w:sz w:val="18"/>
          <w:szCs w:val="18"/>
        </w:rPr>
        <w:t xml:space="preserve"> </w:t>
      </w:r>
    </w:p>
  </w:footnote>
  <w:footnote w:id="27">
    <w:p w14:paraId="5CD105AE" w14:textId="139A48E2" w:rsidR="003257F2" w:rsidRPr="00EB1983" w:rsidRDefault="003257F2" w:rsidP="16043CC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Department of Housing and Urban Development,</w:t>
      </w:r>
      <w:r w:rsidR="00EB1983">
        <w:rPr>
          <w:rFonts w:ascii="Lato" w:hAnsi="Lato"/>
          <w:sz w:val="18"/>
          <w:szCs w:val="18"/>
        </w:rPr>
        <w:t xml:space="preserve"> “</w:t>
      </w:r>
      <w:r w:rsidRPr="00EB1983">
        <w:rPr>
          <w:rFonts w:ascii="Lato" w:hAnsi="Lato"/>
          <w:sz w:val="18"/>
          <w:szCs w:val="18"/>
        </w:rPr>
        <w:t xml:space="preserve">Data and Mapping Resources,” </w:t>
      </w:r>
      <w:hyperlink r:id="rId37" w:history="1">
        <w:r w:rsidR="00EB1983" w:rsidRPr="00781CDF">
          <w:rPr>
            <w:rStyle w:val="Hyperlink"/>
            <w:rFonts w:ascii="Lato" w:hAnsi="Lato"/>
            <w:sz w:val="18"/>
            <w:szCs w:val="18"/>
          </w:rPr>
          <w:t>https://www.hud.gov/sites/documents/DEFOPPPANELDATAMAPRESO.PDF</w:t>
        </w:r>
      </w:hyperlink>
      <w:r w:rsidR="00EB1983">
        <w:rPr>
          <w:rFonts w:ascii="Lato" w:hAnsi="Lato"/>
          <w:sz w:val="18"/>
          <w:szCs w:val="18"/>
        </w:rPr>
        <w:t xml:space="preserve"> </w:t>
      </w:r>
    </w:p>
  </w:footnote>
  <w:footnote w:id="28">
    <w:p w14:paraId="39760B90" w14:textId="77777777" w:rsidR="0036027B" w:rsidRDefault="0036027B" w:rsidP="0036027B">
      <w:pPr>
        <w:pStyle w:val="FootnoteText"/>
      </w:pPr>
      <w:r w:rsidRPr="00EB1983">
        <w:rPr>
          <w:rStyle w:val="FootnoteReference"/>
          <w:rFonts w:ascii="Lato" w:hAnsi="Lato"/>
          <w:sz w:val="18"/>
          <w:szCs w:val="18"/>
        </w:rPr>
        <w:footnoteRef/>
      </w:r>
      <w:r w:rsidRPr="00EB1983">
        <w:rPr>
          <w:rFonts w:ascii="Lato" w:hAnsi="Lato"/>
          <w:sz w:val="18"/>
          <w:szCs w:val="18"/>
        </w:rPr>
        <w:t xml:space="preserve"> FHFA recently entered into a memorandum of understanding with HUD regarding Fair Housing and Fair Lending Coordination, </w:t>
      </w:r>
      <w:hyperlink r:id="rId38" w:history="1">
        <w:r w:rsidRPr="00EB1983">
          <w:rPr>
            <w:rStyle w:val="Hyperlink"/>
            <w:rFonts w:ascii="Lato" w:hAnsi="Lato"/>
            <w:sz w:val="18"/>
            <w:szCs w:val="18"/>
          </w:rPr>
          <w:t>https://www.fhfa.gov/Media/PublicAffairs/PublicAffairsDocuments/FHFA-HUD-MOU_8122021.pdf</w:t>
        </w:r>
      </w:hyperlink>
      <w:r w:rsidRPr="00EB1983">
        <w:rPr>
          <w:rFonts w:ascii="Lato" w:hAnsi="Lato"/>
          <w:sz w:val="18"/>
          <w:szCs w:val="18"/>
        </w:rPr>
        <w:t xml:space="preserve"> which could be expanded to explicitly include AFFH and extended to include other federal agencies that administer housing programs and share responsibility for enforcement of the Fair Housing Act.</w:t>
      </w:r>
      <w:r>
        <w:t xml:space="preserve"> </w:t>
      </w:r>
    </w:p>
  </w:footnote>
  <w:footnote w:id="29">
    <w:p w14:paraId="32F8AC21" w14:textId="035973FA" w:rsidR="003257F2" w:rsidRPr="00EB1983" w:rsidRDefault="003257F2" w:rsidP="16043CCD">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Code of Federal Regulations, ”Affirmatively Further Fair Housing,” </w:t>
      </w:r>
      <w:hyperlink r:id="rId39" w:history="1">
        <w:r w:rsidR="00EB1983" w:rsidRPr="00EB1983">
          <w:rPr>
            <w:rStyle w:val="Hyperlink"/>
            <w:rFonts w:ascii="Lato" w:hAnsi="Lato"/>
            <w:sz w:val="18"/>
            <w:szCs w:val="18"/>
          </w:rPr>
          <w:t>https://www.ecfr.gov/current/title-24/subtitle-A/part-5/subpart-A/subject-group-ECFRb064b8192adda7c/section-5.151</w:t>
        </w:r>
      </w:hyperlink>
      <w:r w:rsidR="00EB1983" w:rsidRPr="00EB1983">
        <w:rPr>
          <w:rFonts w:ascii="Lato" w:hAnsi="Lato"/>
          <w:sz w:val="18"/>
          <w:szCs w:val="18"/>
        </w:rPr>
        <w:t xml:space="preserve"> </w:t>
      </w:r>
    </w:p>
  </w:footnote>
  <w:footnote w:id="30">
    <w:p w14:paraId="4660D4E1" w14:textId="7CCBEE76" w:rsidR="00304A6C" w:rsidRPr="00EB1983" w:rsidRDefault="00304A6C">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U.S. Code, (12 C.F.R. § 1282.36), https://www.law.cornell.edu/cfr/text/12/1282.36</w:t>
      </w:r>
    </w:p>
  </w:footnote>
  <w:footnote w:id="31">
    <w:p w14:paraId="44FBF99D" w14:textId="0BC94467" w:rsidR="00EB1983" w:rsidRPr="00EB1983" w:rsidRDefault="00EB1983">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Jim Gray and George W. McCarthy, “Duty to Serve: The Purpose of Fannie Mae and Freddie Mac and Early Lessons Learned in Underserved Housing Markets,” </w:t>
      </w:r>
      <w:r w:rsidRPr="00EB1983">
        <w:rPr>
          <w:rFonts w:ascii="Lato" w:hAnsi="Lato"/>
          <w:i/>
          <w:iCs/>
          <w:sz w:val="18"/>
          <w:szCs w:val="18"/>
        </w:rPr>
        <w:t xml:space="preserve">Lincoln Land Institute, </w:t>
      </w:r>
      <w:r w:rsidRPr="00EB1983">
        <w:rPr>
          <w:rFonts w:ascii="Lato" w:hAnsi="Lato"/>
          <w:sz w:val="18"/>
          <w:szCs w:val="18"/>
        </w:rPr>
        <w:t xml:space="preserve">April 2021, </w:t>
      </w:r>
      <w:hyperlink r:id="rId40" w:history="1">
        <w:r w:rsidRPr="00EB1983">
          <w:rPr>
            <w:rStyle w:val="Hyperlink"/>
            <w:rFonts w:ascii="Lato" w:hAnsi="Lato"/>
            <w:sz w:val="18"/>
            <w:szCs w:val="18"/>
          </w:rPr>
          <w:t>https://www.lincolninst.edu/publications/working-papers/duty-to-serve</w:t>
        </w:r>
      </w:hyperlink>
      <w:r w:rsidRPr="00EB1983">
        <w:rPr>
          <w:rFonts w:ascii="Lato" w:hAnsi="Lato"/>
          <w:sz w:val="18"/>
          <w:szCs w:val="18"/>
        </w:rPr>
        <w:t xml:space="preserve"> </w:t>
      </w:r>
    </w:p>
  </w:footnote>
  <w:footnote w:id="32">
    <w:p w14:paraId="63801868" w14:textId="7341AB3B" w:rsidR="003257F2" w:rsidRPr="00EB1983" w:rsidRDefault="003257F2" w:rsidP="16043CCD">
      <w:pPr>
        <w:pStyle w:val="FootnoteText"/>
        <w:rPr>
          <w:rFonts w:ascii="Lato" w:eastAsia="Segoe UI" w:hAnsi="Lato" w:cs="Segoe UI"/>
          <w:sz w:val="18"/>
          <w:szCs w:val="18"/>
        </w:rPr>
      </w:pPr>
      <w:r w:rsidRPr="00EB1983">
        <w:rPr>
          <w:rStyle w:val="FootnoteReference"/>
          <w:rFonts w:ascii="Lato" w:hAnsi="Lato"/>
          <w:sz w:val="18"/>
          <w:szCs w:val="18"/>
        </w:rPr>
        <w:footnoteRef/>
      </w:r>
      <w:r w:rsidRPr="00EB1983">
        <w:rPr>
          <w:rFonts w:ascii="Lato" w:hAnsi="Lato"/>
          <w:sz w:val="18"/>
          <w:szCs w:val="18"/>
        </w:rPr>
        <w:t xml:space="preserve"> Fannie Mae,</w:t>
      </w:r>
      <w:r w:rsidR="00EB1983" w:rsidRPr="00EB1983">
        <w:rPr>
          <w:rFonts w:ascii="Lato" w:hAnsi="Lato"/>
          <w:sz w:val="18"/>
          <w:szCs w:val="18"/>
        </w:rPr>
        <w:t xml:space="preserve"> “</w:t>
      </w:r>
      <w:r w:rsidRPr="00EB1983">
        <w:rPr>
          <w:rFonts w:ascii="Lato" w:hAnsi="Lato"/>
          <w:sz w:val="18"/>
          <w:szCs w:val="18"/>
        </w:rPr>
        <w:t xml:space="preserve">Fannie Mae to Enhance its Single-Family Credit Risk Transfer Disclosures,” August 13, 2020, </w:t>
      </w:r>
      <w:hyperlink r:id="rId41" w:history="1">
        <w:r w:rsidR="00EB1983" w:rsidRPr="00EB1983">
          <w:rPr>
            <w:rStyle w:val="Hyperlink"/>
            <w:rFonts w:ascii="Lato" w:eastAsia="Segoe UI" w:hAnsi="Lato" w:cs="Segoe UI"/>
            <w:sz w:val="18"/>
            <w:szCs w:val="18"/>
          </w:rPr>
          <w:t>https://capitalmarkets.fanniemae.com/credit-risk-transfer/single-family-credit-risk-transfer/fannie-mae-enhance-its-single-family-credit-risk-transfer-disclosures</w:t>
        </w:r>
      </w:hyperlink>
      <w:r w:rsidR="00EB1983" w:rsidRPr="00EB1983">
        <w:rPr>
          <w:rFonts w:ascii="Lato" w:eastAsia="Segoe UI" w:hAnsi="Lato" w:cs="Segoe UI"/>
          <w:sz w:val="18"/>
          <w:szCs w:val="18"/>
        </w:rPr>
        <w:t xml:space="preserve"> </w:t>
      </w:r>
    </w:p>
  </w:footnote>
  <w:footnote w:id="33">
    <w:p w14:paraId="3369A7E6" w14:textId="767F0742" w:rsidR="003257F2" w:rsidRPr="00EB1983" w:rsidRDefault="003257F2">
      <w:pPr>
        <w:pStyle w:val="FootnoteText"/>
        <w:rPr>
          <w:rFonts w:ascii="Lato" w:hAnsi="Lato"/>
          <w:sz w:val="18"/>
          <w:szCs w:val="18"/>
        </w:rPr>
      </w:pPr>
      <w:r w:rsidRPr="00EB1983">
        <w:rPr>
          <w:rStyle w:val="FootnoteReference"/>
          <w:rFonts w:ascii="Lato" w:hAnsi="Lato"/>
          <w:sz w:val="18"/>
          <w:szCs w:val="18"/>
        </w:rPr>
        <w:footnoteRef/>
      </w:r>
      <w:r w:rsidRPr="00EB1983">
        <w:rPr>
          <w:rFonts w:ascii="Lato" w:hAnsi="Lato"/>
          <w:sz w:val="18"/>
          <w:szCs w:val="18"/>
        </w:rPr>
        <w:t xml:space="preserve"> Federal Housing Finance Agency, “Duty to Serve Data,” </w:t>
      </w:r>
      <w:hyperlink r:id="rId42" w:history="1">
        <w:r w:rsidR="00EB1983" w:rsidRPr="00EB1983">
          <w:rPr>
            <w:rStyle w:val="Hyperlink"/>
            <w:rFonts w:ascii="Lato" w:hAnsi="Lato"/>
            <w:sz w:val="18"/>
            <w:szCs w:val="18"/>
          </w:rPr>
          <w:t>https://www.fhfa.gov/DataTools/Downloads/Pages/Duty-to-Serve-Data.aspx</w:t>
        </w:r>
      </w:hyperlink>
      <w:r w:rsidR="00EB1983" w:rsidRPr="00EB1983">
        <w:rPr>
          <w:rFonts w:ascii="Lato" w:hAnsi="Lato"/>
          <w:sz w:val="18"/>
          <w:szCs w:val="18"/>
        </w:rPr>
        <w:t xml:space="preserve"> </w:t>
      </w:r>
    </w:p>
  </w:footnote>
  <w:footnote w:id="34">
    <w:p w14:paraId="73A46FFC" w14:textId="7C23879C" w:rsidR="003257F2" w:rsidRPr="00E64990" w:rsidRDefault="003257F2" w:rsidP="16043CCD">
      <w:pPr>
        <w:pStyle w:val="FootnoteText"/>
        <w:rPr>
          <w:rFonts w:ascii="Lato" w:eastAsia="Segoe UI" w:hAnsi="Lato" w:cs="Segoe UI"/>
          <w:sz w:val="18"/>
          <w:szCs w:val="18"/>
        </w:rPr>
      </w:pPr>
      <w:r w:rsidRPr="00EB1983">
        <w:rPr>
          <w:rStyle w:val="FootnoteReference"/>
          <w:rFonts w:ascii="Lato" w:hAnsi="Lato"/>
          <w:sz w:val="18"/>
          <w:szCs w:val="18"/>
        </w:rPr>
        <w:footnoteRef/>
      </w:r>
      <w:r w:rsidRPr="00EB1983">
        <w:rPr>
          <w:rFonts w:ascii="Lato" w:hAnsi="Lato"/>
          <w:sz w:val="18"/>
          <w:szCs w:val="18"/>
        </w:rPr>
        <w:t xml:space="preserve"> Federal Housing Finance Agency, ”National Mortgage Database Program,” </w:t>
      </w:r>
      <w:hyperlink r:id="rId43" w:history="1">
        <w:r w:rsidR="00EB1983" w:rsidRPr="00EB1983">
          <w:rPr>
            <w:rStyle w:val="Hyperlink"/>
            <w:rFonts w:ascii="Lato" w:eastAsia="Segoe UI" w:hAnsi="Lato" w:cs="Segoe UI"/>
            <w:sz w:val="18"/>
            <w:szCs w:val="18"/>
          </w:rPr>
          <w:t>https://capitalmarkets.fanniemae.com/credit-risk-transfer/single-family-credit-risk-transfer/fannie-mae-enhance-its-single-family-credit-risk-transfer-disclosures</w:t>
        </w:r>
      </w:hyperlink>
      <w:r w:rsidR="00EB1983" w:rsidRPr="00EB1983">
        <w:rPr>
          <w:rFonts w:ascii="Lato" w:eastAsia="Segoe UI" w:hAnsi="Lato" w:cs="Segoe UI"/>
          <w:sz w:val="18"/>
          <w:szCs w:val="18"/>
        </w:rPr>
        <w:t xml:space="preserve"> </w:t>
      </w:r>
    </w:p>
  </w:footnote>
  <w:footnote w:id="35">
    <w:p w14:paraId="15E6CE3B" w14:textId="00CB8E39" w:rsidR="003257F2" w:rsidRPr="00E64990" w:rsidRDefault="003257F2" w:rsidP="16043CCD">
      <w:pPr>
        <w:pStyle w:val="FootnoteText"/>
        <w:rPr>
          <w:rFonts w:ascii="Lato" w:hAnsi="Lato"/>
          <w:sz w:val="18"/>
          <w:szCs w:val="18"/>
        </w:rPr>
      </w:pPr>
      <w:r w:rsidRPr="00E64990">
        <w:rPr>
          <w:rStyle w:val="FootnoteReference"/>
          <w:rFonts w:ascii="Lato" w:hAnsi="Lato"/>
          <w:sz w:val="18"/>
          <w:szCs w:val="18"/>
        </w:rPr>
        <w:footnoteRef/>
      </w:r>
      <w:r w:rsidRPr="00E64990">
        <w:rPr>
          <w:rFonts w:ascii="Lato" w:hAnsi="Lato"/>
          <w:sz w:val="18"/>
          <w:szCs w:val="18"/>
        </w:rPr>
        <w:t xml:space="preserve"> Freddie Mac, ”Racial and Ethnic Valuation Gaps in Home Purchase Appraisals,” September 2021, </w:t>
      </w:r>
      <w:hyperlink r:id="rId44" w:history="1">
        <w:r w:rsidR="00F801B4" w:rsidRPr="00781CDF">
          <w:rPr>
            <w:rStyle w:val="Hyperlink"/>
            <w:rFonts w:ascii="Lato" w:hAnsi="Lato"/>
            <w:sz w:val="18"/>
            <w:szCs w:val="18"/>
          </w:rPr>
          <w:t>http://www.freddiemac.com/fmac-resources/research/pdf/202109-Note-Appraisal-Gap.pdf</w:t>
        </w:r>
      </w:hyperlink>
      <w:r w:rsidR="00F801B4">
        <w:rPr>
          <w:rFonts w:ascii="Lato" w:hAnsi="Lato"/>
          <w:sz w:val="18"/>
          <w:szCs w:val="18"/>
        </w:rPr>
        <w:t xml:space="preserve"> </w:t>
      </w:r>
    </w:p>
  </w:footnote>
  <w:footnote w:id="36">
    <w:p w14:paraId="110F4D5B" w14:textId="26236054" w:rsidR="003257F2" w:rsidRPr="00E64990" w:rsidRDefault="003257F2" w:rsidP="16043CCD">
      <w:pPr>
        <w:pStyle w:val="FootnoteText"/>
        <w:rPr>
          <w:rFonts w:ascii="Lato" w:hAnsi="Lato"/>
          <w:sz w:val="18"/>
          <w:szCs w:val="18"/>
        </w:rPr>
      </w:pPr>
      <w:r w:rsidRPr="00E64990">
        <w:rPr>
          <w:rStyle w:val="FootnoteReference"/>
          <w:rFonts w:ascii="Lato" w:hAnsi="Lato"/>
          <w:sz w:val="18"/>
          <w:szCs w:val="18"/>
        </w:rPr>
        <w:footnoteRef/>
      </w:r>
      <w:r w:rsidRPr="00E64990">
        <w:rPr>
          <w:rFonts w:ascii="Lato" w:hAnsi="Lato"/>
          <w:sz w:val="18"/>
          <w:szCs w:val="18"/>
        </w:rPr>
        <w:t xml:space="preserve"> Federal Housing Finance Agency, ”Reports and Plans,” </w:t>
      </w:r>
      <w:hyperlink r:id="rId45" w:anchor="0154543c-431f-47c7-bbcf-c828383bfa6d=%7B%22k%22%3A%22%22%2C%22r%22%3A%5B%7B%22n%22%3A%22ReportPlanCategoryOWSCHCS%22%2C%22t%22%3A%5B%22%5C%22%C7%82%C7%82436f6e7365727661746f72736869707320506572666f726d616e636520476f616c73202d2053636f726563617264%5C%22%22%5D%2C%22o%22%3A%22and%22%2C%22k%22%3Afalse%2C%22m%22%3Anull%7D%5D%7D" w:history="1">
        <w:r w:rsidR="00F801B4" w:rsidRPr="00781CDF">
          <w:rPr>
            <w:rStyle w:val="Hyperlink"/>
            <w:rFonts w:ascii="Lato" w:hAnsi="Lato"/>
            <w:sz w:val="18"/>
            <w:szCs w:val="18"/>
          </w:rPr>
          <w:t>https://www.fhfa.gov/AboutUs/reportsplans/Pages/All-Reports.aspx#0154543c-431f-47c7-bbcf-c828383bfa6d=%7B%22k%22%3A%22%22%2C%22r%22%3A%5B%7B%22n%22%3A%22ReportPlanCategoryOWSCHCS%22%2C%22t%22%3A%5B%22%5C%22%C7%82%C7%82436f6e7365727661746f72736869707320506572666f726d616e636520476f616c73202d2053636f726563617264%5C%22%22%5D%2C%22o%22%3A%22and%22%2C%22k%22%3Afalse%2C%22m%22%3Anull%7D%5D%7D</w:t>
        </w:r>
      </w:hyperlink>
      <w:r w:rsidR="00F801B4">
        <w:rPr>
          <w:rFonts w:ascii="Lato" w:hAnsi="Lato"/>
          <w:sz w:val="18"/>
          <w:szCs w:val="18"/>
        </w:rPr>
        <w:t xml:space="preserve"> </w:t>
      </w:r>
    </w:p>
  </w:footnote>
  <w:footnote w:id="37">
    <w:p w14:paraId="559B6FBD" w14:textId="368C189F" w:rsidR="003257F2" w:rsidRDefault="003257F2" w:rsidP="16043CCD">
      <w:pPr>
        <w:pStyle w:val="FootnoteText"/>
      </w:pPr>
      <w:r w:rsidRPr="00E64990">
        <w:rPr>
          <w:rStyle w:val="FootnoteReference"/>
          <w:rFonts w:ascii="Lato" w:hAnsi="Lato"/>
          <w:sz w:val="18"/>
          <w:szCs w:val="18"/>
        </w:rPr>
        <w:footnoteRef/>
      </w:r>
      <w:r w:rsidRPr="00E64990">
        <w:rPr>
          <w:rFonts w:ascii="Lato" w:hAnsi="Lato"/>
          <w:sz w:val="18"/>
          <w:szCs w:val="18"/>
        </w:rPr>
        <w:t xml:space="preserve"> Federal Housing Finance Agency, ”Executive Compensation,” </w:t>
      </w:r>
      <w:hyperlink r:id="rId46" w:history="1">
        <w:r w:rsidR="00F801B4" w:rsidRPr="00781CDF">
          <w:rPr>
            <w:rStyle w:val="Hyperlink"/>
            <w:rFonts w:ascii="Lato" w:hAnsi="Lato"/>
            <w:sz w:val="18"/>
            <w:szCs w:val="18"/>
          </w:rPr>
          <w:t>https://www.fhfa.gov/PolicyProgramsResearch/Policy/Pages/Executive-Compensation.aspx</w:t>
        </w:r>
      </w:hyperlink>
      <w:r w:rsidR="00F801B4">
        <w:rPr>
          <w:rFonts w:ascii="Lato" w:hAnsi="Lato"/>
          <w:sz w:val="18"/>
          <w:szCs w:val="18"/>
        </w:rPr>
        <w:t xml:space="preserve"> </w:t>
      </w:r>
    </w:p>
  </w:footnote>
  <w:footnote w:id="38">
    <w:p w14:paraId="43A12A8C" w14:textId="5BEF8C36" w:rsidR="007231DA" w:rsidRPr="007231DA" w:rsidRDefault="007231DA">
      <w:pPr>
        <w:pStyle w:val="FootnoteText"/>
        <w:rPr>
          <w:rFonts w:ascii="Lato" w:hAnsi="Lato"/>
          <w:sz w:val="18"/>
          <w:szCs w:val="18"/>
        </w:rPr>
      </w:pPr>
      <w:r w:rsidRPr="007231DA">
        <w:rPr>
          <w:rStyle w:val="FootnoteReference"/>
          <w:rFonts w:ascii="Lato" w:hAnsi="Lato"/>
          <w:sz w:val="18"/>
          <w:szCs w:val="18"/>
        </w:rPr>
        <w:footnoteRef/>
      </w:r>
      <w:r w:rsidRPr="007231DA">
        <w:rPr>
          <w:rFonts w:ascii="Lato" w:hAnsi="Lato"/>
          <w:sz w:val="18"/>
          <w:szCs w:val="18"/>
        </w:rPr>
        <w:t xml:space="preserve"> Urban Institute, “The Renters and Rental Market Crisis Working Group,” </w:t>
      </w:r>
      <w:hyperlink r:id="rId47" w:history="1">
        <w:r w:rsidR="00F801B4" w:rsidRPr="00781CDF">
          <w:rPr>
            <w:rStyle w:val="Hyperlink"/>
            <w:rFonts w:ascii="Lato" w:hAnsi="Lato"/>
            <w:sz w:val="18"/>
            <w:szCs w:val="18"/>
          </w:rPr>
          <w:t>https://www.urban.org/renters-and-rental-market-crisis-working-group</w:t>
        </w:r>
      </w:hyperlink>
      <w:r w:rsidR="00F801B4">
        <w:rPr>
          <w:rFonts w:ascii="Lato" w:hAnsi="Lato"/>
          <w:sz w:val="18"/>
          <w:szCs w:val="18"/>
        </w:rPr>
        <w:t xml:space="preserve"> </w:t>
      </w:r>
    </w:p>
  </w:footnote>
  <w:footnote w:id="39">
    <w:p w14:paraId="7FE5A5E2" w14:textId="11FFCF75" w:rsidR="007231DA" w:rsidRPr="007231DA" w:rsidRDefault="007231DA">
      <w:pPr>
        <w:pStyle w:val="FootnoteText"/>
        <w:rPr>
          <w:rFonts w:ascii="Lato" w:hAnsi="Lato"/>
          <w:sz w:val="18"/>
          <w:szCs w:val="18"/>
        </w:rPr>
      </w:pPr>
      <w:r w:rsidRPr="007231DA">
        <w:rPr>
          <w:rStyle w:val="FootnoteReference"/>
          <w:rFonts w:ascii="Lato" w:hAnsi="Lato"/>
          <w:sz w:val="18"/>
          <w:szCs w:val="18"/>
        </w:rPr>
        <w:footnoteRef/>
      </w:r>
      <w:r w:rsidRPr="007231DA">
        <w:rPr>
          <w:rFonts w:ascii="Lato" w:hAnsi="Lato"/>
          <w:sz w:val="18"/>
          <w:szCs w:val="18"/>
        </w:rPr>
        <w:t xml:space="preserve"> Community of Practice on Local Housing Strategies, “Local Housing Solutions,” https://localhousingsolutions.org/</w:t>
      </w:r>
    </w:p>
  </w:footnote>
  <w:footnote w:id="40">
    <w:p w14:paraId="11B8EA29" w14:textId="4E172DEB" w:rsidR="007231DA" w:rsidRDefault="007231DA">
      <w:pPr>
        <w:pStyle w:val="FootnoteText"/>
      </w:pPr>
      <w:r w:rsidRPr="007231DA">
        <w:rPr>
          <w:rStyle w:val="FootnoteReference"/>
          <w:rFonts w:ascii="Lato" w:hAnsi="Lato"/>
          <w:sz w:val="18"/>
          <w:szCs w:val="18"/>
        </w:rPr>
        <w:footnoteRef/>
      </w:r>
      <w:r w:rsidRPr="007231DA">
        <w:rPr>
          <w:rFonts w:ascii="Lato" w:hAnsi="Lato"/>
          <w:sz w:val="18"/>
          <w:szCs w:val="18"/>
        </w:rPr>
        <w:t xml:space="preserve"> Consumer Finance Protection Bureau, “Consumer Advisory Board,” </w:t>
      </w:r>
      <w:hyperlink r:id="rId48" w:history="1">
        <w:r w:rsidR="00F801B4" w:rsidRPr="00781CDF">
          <w:rPr>
            <w:rStyle w:val="Hyperlink"/>
            <w:rFonts w:ascii="Lato" w:hAnsi="Lato"/>
            <w:sz w:val="18"/>
            <w:szCs w:val="18"/>
          </w:rPr>
          <w:t>https://www.consumerfinance.gov/rules-policy/advisory-committees/consumer-advisory-board/</w:t>
        </w:r>
      </w:hyperlink>
      <w:r w:rsidR="00F801B4">
        <w:rPr>
          <w:rFonts w:ascii="Lato" w:hAnsi="Lato"/>
          <w:sz w:val="18"/>
          <w:szCs w:val="18"/>
        </w:rPr>
        <w:t xml:space="preserve"> </w:t>
      </w:r>
    </w:p>
  </w:footnote>
  <w:footnote w:id="41">
    <w:p w14:paraId="436573CD" w14:textId="571FB967" w:rsidR="003257F2" w:rsidRPr="00FC7C9B" w:rsidRDefault="003257F2">
      <w:pPr>
        <w:pStyle w:val="FootnoteText"/>
        <w:rPr>
          <w:rFonts w:ascii="Lato" w:hAnsi="Lato"/>
        </w:rPr>
      </w:pPr>
      <w:r w:rsidRPr="00FC7C9B">
        <w:rPr>
          <w:rStyle w:val="FootnoteReference"/>
          <w:rFonts w:ascii="Lato" w:hAnsi="Lato"/>
          <w:sz w:val="18"/>
          <w:szCs w:val="18"/>
        </w:rPr>
        <w:footnoteRef/>
      </w:r>
      <w:r w:rsidRPr="00FC7C9B">
        <w:rPr>
          <w:rFonts w:ascii="Lato" w:hAnsi="Lato"/>
          <w:sz w:val="18"/>
          <w:szCs w:val="18"/>
        </w:rPr>
        <w:t xml:space="preserve"> Urban Institute, Centering Racial Equity in Measurement and Evaluation: Emerging Guidance and Lessons from Human Service Non</w:t>
      </w:r>
      <w:r w:rsidR="00F801B4">
        <w:rPr>
          <w:rFonts w:ascii="Lato" w:hAnsi="Lato"/>
          <w:sz w:val="18"/>
          <w:szCs w:val="18"/>
        </w:rPr>
        <w:t>p</w:t>
      </w:r>
      <w:r w:rsidRPr="00FC7C9B">
        <w:rPr>
          <w:rFonts w:ascii="Lato" w:hAnsi="Lato"/>
          <w:sz w:val="18"/>
          <w:szCs w:val="18"/>
        </w:rPr>
        <w:t xml:space="preserve">rofits. </w:t>
      </w:r>
      <w:hyperlink r:id="rId49" w:history="1">
        <w:r w:rsidR="00F801B4" w:rsidRPr="00781CDF">
          <w:rPr>
            <w:rStyle w:val="Hyperlink"/>
            <w:rFonts w:ascii="Lato" w:hAnsi="Lato"/>
            <w:sz w:val="18"/>
            <w:szCs w:val="18"/>
          </w:rPr>
          <w:t>https://www.urban.org/sites/default/files/publication/104487/centering-racial-equity-in-measurement-and-evaluation_0.pdf</w:t>
        </w:r>
      </w:hyperlink>
      <w:r w:rsidR="00F801B4">
        <w:rPr>
          <w:rFonts w:ascii="Lato" w:hAnsi="La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257F2" w14:paraId="15C1D329" w14:textId="77777777" w:rsidTr="16043CCD">
      <w:tc>
        <w:tcPr>
          <w:tcW w:w="3120" w:type="dxa"/>
        </w:tcPr>
        <w:p w14:paraId="7B4D8F19" w14:textId="5DDC1C04" w:rsidR="003257F2" w:rsidRDefault="003257F2" w:rsidP="16043CCD">
          <w:pPr>
            <w:pStyle w:val="Header"/>
            <w:ind w:left="-115"/>
          </w:pPr>
        </w:p>
      </w:tc>
      <w:tc>
        <w:tcPr>
          <w:tcW w:w="3120" w:type="dxa"/>
        </w:tcPr>
        <w:p w14:paraId="6827FE80" w14:textId="1853DAC8" w:rsidR="003257F2" w:rsidRDefault="003257F2" w:rsidP="16043CCD">
          <w:pPr>
            <w:pStyle w:val="Header"/>
            <w:jc w:val="center"/>
          </w:pPr>
        </w:p>
      </w:tc>
      <w:tc>
        <w:tcPr>
          <w:tcW w:w="3120" w:type="dxa"/>
        </w:tcPr>
        <w:p w14:paraId="4FE0BBE8" w14:textId="288E9B22" w:rsidR="003257F2" w:rsidRDefault="003257F2" w:rsidP="16043CCD">
          <w:pPr>
            <w:pStyle w:val="Header"/>
            <w:ind w:right="-115"/>
            <w:jc w:val="right"/>
          </w:pPr>
        </w:p>
      </w:tc>
    </w:tr>
  </w:tbl>
  <w:p w14:paraId="276F785B" w14:textId="602BB911" w:rsidR="003257F2" w:rsidRDefault="009723A5" w:rsidP="16043CCD">
    <w:pPr>
      <w:pStyle w:val="Header"/>
    </w:pPr>
    <w:r>
      <w:rPr>
        <w:noProof/>
      </w:rPr>
      <w:drawing>
        <wp:anchor distT="0" distB="0" distL="0" distR="0" simplePos="0" relativeHeight="251659264" behindDoc="1" locked="0" layoutInCell="1" allowOverlap="0" wp14:anchorId="2CCE12CE" wp14:editId="08213F86">
          <wp:simplePos x="0" y="0"/>
          <wp:positionH relativeFrom="page">
            <wp:posOffset>257175</wp:posOffset>
          </wp:positionH>
          <wp:positionV relativeFrom="page">
            <wp:posOffset>257176</wp:posOffset>
          </wp:positionV>
          <wp:extent cx="4457700" cy="1218902"/>
          <wp:effectExtent l="0" t="0" r="0" b="0"/>
          <wp:wrapTight wrapText="bothSides">
            <wp:wrapPolygon edited="0">
              <wp:start x="462" y="1351"/>
              <wp:lineTo x="462" y="20261"/>
              <wp:lineTo x="5446" y="20261"/>
              <wp:lineTo x="10800" y="18234"/>
              <wp:lineTo x="21231" y="13169"/>
              <wp:lineTo x="21415" y="11143"/>
              <wp:lineTo x="19938" y="10468"/>
              <wp:lineTo x="9046" y="6416"/>
              <wp:lineTo x="8492" y="5403"/>
              <wp:lineTo x="5446" y="1351"/>
              <wp:lineTo x="462" y="13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288" cy="122070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F1A"/>
    <w:multiLevelType w:val="hybridMultilevel"/>
    <w:tmpl w:val="95C8A590"/>
    <w:lvl w:ilvl="0" w:tplc="3CF0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634"/>
    <w:multiLevelType w:val="hybridMultilevel"/>
    <w:tmpl w:val="3AA2E1EA"/>
    <w:lvl w:ilvl="0" w:tplc="900C8212">
      <w:start w:val="1"/>
      <w:numFmt w:val="decimal"/>
      <w:lvlText w:val="%1)"/>
      <w:lvlJc w:val="left"/>
      <w:pPr>
        <w:ind w:left="780" w:hanging="360"/>
      </w:pPr>
      <w:rPr>
        <w:rFonts w:ascii="Times New Roman" w:eastAsiaTheme="minorHAnsi"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C556A9"/>
    <w:multiLevelType w:val="hybridMultilevel"/>
    <w:tmpl w:val="95D4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9534F"/>
    <w:multiLevelType w:val="hybridMultilevel"/>
    <w:tmpl w:val="DB6EC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40A5B"/>
    <w:multiLevelType w:val="hybridMultilevel"/>
    <w:tmpl w:val="F20E9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56F9"/>
    <w:multiLevelType w:val="hybridMultilevel"/>
    <w:tmpl w:val="F522C3F2"/>
    <w:lvl w:ilvl="0" w:tplc="83D64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C3AD3"/>
    <w:multiLevelType w:val="hybridMultilevel"/>
    <w:tmpl w:val="4E94D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27329"/>
    <w:multiLevelType w:val="multilevel"/>
    <w:tmpl w:val="8762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32823"/>
    <w:multiLevelType w:val="hybridMultilevel"/>
    <w:tmpl w:val="09EC256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A23C9"/>
    <w:multiLevelType w:val="hybridMultilevel"/>
    <w:tmpl w:val="6D48C074"/>
    <w:lvl w:ilvl="0" w:tplc="574EC9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F7425"/>
    <w:multiLevelType w:val="hybridMultilevel"/>
    <w:tmpl w:val="F40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0661C"/>
    <w:multiLevelType w:val="hybridMultilevel"/>
    <w:tmpl w:val="6FCEA538"/>
    <w:lvl w:ilvl="0" w:tplc="9688857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56E0E"/>
    <w:multiLevelType w:val="hybridMultilevel"/>
    <w:tmpl w:val="3AD6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66A79"/>
    <w:multiLevelType w:val="hybridMultilevel"/>
    <w:tmpl w:val="E71E232C"/>
    <w:lvl w:ilvl="0" w:tplc="6A72FB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A7730"/>
    <w:multiLevelType w:val="hybridMultilevel"/>
    <w:tmpl w:val="947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07EE0"/>
    <w:multiLevelType w:val="hybridMultilevel"/>
    <w:tmpl w:val="D72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352AC"/>
    <w:multiLevelType w:val="hybridMultilevel"/>
    <w:tmpl w:val="E740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44C9C"/>
    <w:multiLevelType w:val="hybridMultilevel"/>
    <w:tmpl w:val="5F98E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9222E"/>
    <w:multiLevelType w:val="hybridMultilevel"/>
    <w:tmpl w:val="DC7E4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32B73"/>
    <w:multiLevelType w:val="hybridMultilevel"/>
    <w:tmpl w:val="DE4CA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74B9F"/>
    <w:multiLevelType w:val="hybridMultilevel"/>
    <w:tmpl w:val="CC42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06A76"/>
    <w:multiLevelType w:val="hybridMultilevel"/>
    <w:tmpl w:val="D988E4E6"/>
    <w:lvl w:ilvl="0" w:tplc="6F824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81C04"/>
    <w:multiLevelType w:val="hybridMultilevel"/>
    <w:tmpl w:val="FFB6A788"/>
    <w:lvl w:ilvl="0" w:tplc="F01E7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C4615"/>
    <w:multiLevelType w:val="hybridMultilevel"/>
    <w:tmpl w:val="3C1C6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D1438"/>
    <w:multiLevelType w:val="hybridMultilevel"/>
    <w:tmpl w:val="7D2EC92C"/>
    <w:lvl w:ilvl="0" w:tplc="69A2F52C">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4817"/>
    <w:multiLevelType w:val="hybridMultilevel"/>
    <w:tmpl w:val="508CA160"/>
    <w:lvl w:ilvl="0" w:tplc="00A64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F59D4"/>
    <w:multiLevelType w:val="hybridMultilevel"/>
    <w:tmpl w:val="2C285B92"/>
    <w:lvl w:ilvl="0" w:tplc="2ACE813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2004E"/>
    <w:multiLevelType w:val="hybridMultilevel"/>
    <w:tmpl w:val="E1C6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805C1"/>
    <w:multiLevelType w:val="hybridMultilevel"/>
    <w:tmpl w:val="DE4CA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F3810"/>
    <w:multiLevelType w:val="hybridMultilevel"/>
    <w:tmpl w:val="FC145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E0A86"/>
    <w:multiLevelType w:val="hybridMultilevel"/>
    <w:tmpl w:val="05F01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3C0F34">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62FD8"/>
    <w:multiLevelType w:val="hybridMultilevel"/>
    <w:tmpl w:val="7B2A7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F81A4A"/>
    <w:multiLevelType w:val="hybridMultilevel"/>
    <w:tmpl w:val="6896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A7325"/>
    <w:multiLevelType w:val="hybridMultilevel"/>
    <w:tmpl w:val="56849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D1C6A"/>
    <w:multiLevelType w:val="hybridMultilevel"/>
    <w:tmpl w:val="E18E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C23E7"/>
    <w:multiLevelType w:val="hybridMultilevel"/>
    <w:tmpl w:val="C2CC88DE"/>
    <w:lvl w:ilvl="0" w:tplc="2B9C7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20E1D"/>
    <w:multiLevelType w:val="hybridMultilevel"/>
    <w:tmpl w:val="74C88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A1128"/>
    <w:multiLevelType w:val="hybridMultilevel"/>
    <w:tmpl w:val="511AB954"/>
    <w:lvl w:ilvl="0" w:tplc="69A2F52C">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520167C"/>
    <w:multiLevelType w:val="hybridMultilevel"/>
    <w:tmpl w:val="B4BC1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46019"/>
    <w:multiLevelType w:val="hybridMultilevel"/>
    <w:tmpl w:val="4FDE74E6"/>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7C2573FB"/>
    <w:multiLevelType w:val="hybridMultilevel"/>
    <w:tmpl w:val="4D1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75564"/>
    <w:multiLevelType w:val="hybridMultilevel"/>
    <w:tmpl w:val="83BE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50549"/>
    <w:multiLevelType w:val="hybridMultilevel"/>
    <w:tmpl w:val="4FDE74E6"/>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0"/>
  </w:num>
  <w:num w:numId="2">
    <w:abstractNumId w:val="2"/>
  </w:num>
  <w:num w:numId="3">
    <w:abstractNumId w:val="10"/>
  </w:num>
  <w:num w:numId="4">
    <w:abstractNumId w:val="32"/>
  </w:num>
  <w:num w:numId="5">
    <w:abstractNumId w:val="11"/>
  </w:num>
  <w:num w:numId="6">
    <w:abstractNumId w:val="38"/>
  </w:num>
  <w:num w:numId="7">
    <w:abstractNumId w:val="15"/>
  </w:num>
  <w:num w:numId="8">
    <w:abstractNumId w:val="7"/>
  </w:num>
  <w:num w:numId="9">
    <w:abstractNumId w:val="27"/>
  </w:num>
  <w:num w:numId="10">
    <w:abstractNumId w:val="39"/>
  </w:num>
  <w:num w:numId="11">
    <w:abstractNumId w:val="21"/>
  </w:num>
  <w:num w:numId="12">
    <w:abstractNumId w:val="4"/>
  </w:num>
  <w:num w:numId="13">
    <w:abstractNumId w:val="35"/>
  </w:num>
  <w:num w:numId="14">
    <w:abstractNumId w:val="29"/>
  </w:num>
  <w:num w:numId="15">
    <w:abstractNumId w:val="42"/>
  </w:num>
  <w:num w:numId="16">
    <w:abstractNumId w:val="19"/>
  </w:num>
  <w:num w:numId="17">
    <w:abstractNumId w:val="28"/>
  </w:num>
  <w:num w:numId="18">
    <w:abstractNumId w:val="36"/>
  </w:num>
  <w:num w:numId="19">
    <w:abstractNumId w:val="23"/>
  </w:num>
  <w:num w:numId="20">
    <w:abstractNumId w:val="33"/>
  </w:num>
  <w:num w:numId="21">
    <w:abstractNumId w:val="6"/>
  </w:num>
  <w:num w:numId="22">
    <w:abstractNumId w:val="25"/>
  </w:num>
  <w:num w:numId="23">
    <w:abstractNumId w:val="12"/>
  </w:num>
  <w:num w:numId="24">
    <w:abstractNumId w:val="16"/>
  </w:num>
  <w:num w:numId="25">
    <w:abstractNumId w:val="18"/>
  </w:num>
  <w:num w:numId="26">
    <w:abstractNumId w:val="3"/>
  </w:num>
  <w:num w:numId="27">
    <w:abstractNumId w:val="14"/>
  </w:num>
  <w:num w:numId="28">
    <w:abstractNumId w:val="8"/>
  </w:num>
  <w:num w:numId="29">
    <w:abstractNumId w:val="37"/>
  </w:num>
  <w:num w:numId="30">
    <w:abstractNumId w:val="24"/>
  </w:num>
  <w:num w:numId="31">
    <w:abstractNumId w:val="34"/>
  </w:num>
  <w:num w:numId="32">
    <w:abstractNumId w:val="30"/>
  </w:num>
  <w:num w:numId="33">
    <w:abstractNumId w:val="9"/>
  </w:num>
  <w:num w:numId="34">
    <w:abstractNumId w:val="22"/>
  </w:num>
  <w:num w:numId="35">
    <w:abstractNumId w:val="0"/>
  </w:num>
  <w:num w:numId="36">
    <w:abstractNumId w:val="5"/>
  </w:num>
  <w:num w:numId="37">
    <w:abstractNumId w:val="31"/>
  </w:num>
  <w:num w:numId="38">
    <w:abstractNumId w:val="41"/>
  </w:num>
  <w:num w:numId="39">
    <w:abstractNumId w:val="1"/>
  </w:num>
  <w:num w:numId="40">
    <w:abstractNumId w:val="17"/>
  </w:num>
  <w:num w:numId="41">
    <w:abstractNumId w:val="26"/>
  </w:num>
  <w:num w:numId="42">
    <w:abstractNumId w:val="1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84"/>
    <w:rsid w:val="00006804"/>
    <w:rsid w:val="00011841"/>
    <w:rsid w:val="00012E19"/>
    <w:rsid w:val="00023091"/>
    <w:rsid w:val="00025D18"/>
    <w:rsid w:val="000262D3"/>
    <w:rsid w:val="0003080C"/>
    <w:rsid w:val="00042820"/>
    <w:rsid w:val="00042864"/>
    <w:rsid w:val="0004650E"/>
    <w:rsid w:val="00046D63"/>
    <w:rsid w:val="00047F53"/>
    <w:rsid w:val="00070CF0"/>
    <w:rsid w:val="00070D1A"/>
    <w:rsid w:val="000729B7"/>
    <w:rsid w:val="00074E20"/>
    <w:rsid w:val="000775F6"/>
    <w:rsid w:val="00087AD9"/>
    <w:rsid w:val="000A5885"/>
    <w:rsid w:val="000B27A4"/>
    <w:rsid w:val="000C674A"/>
    <w:rsid w:val="000D63A1"/>
    <w:rsid w:val="000D6CFA"/>
    <w:rsid w:val="000D700B"/>
    <w:rsid w:val="000E0C74"/>
    <w:rsid w:val="000E2E55"/>
    <w:rsid w:val="000E4840"/>
    <w:rsid w:val="000F42BA"/>
    <w:rsid w:val="000F5AC5"/>
    <w:rsid w:val="00103144"/>
    <w:rsid w:val="00103E31"/>
    <w:rsid w:val="00114033"/>
    <w:rsid w:val="001150AC"/>
    <w:rsid w:val="00125C21"/>
    <w:rsid w:val="00125F34"/>
    <w:rsid w:val="001324BB"/>
    <w:rsid w:val="00135E34"/>
    <w:rsid w:val="00142224"/>
    <w:rsid w:val="0014590C"/>
    <w:rsid w:val="00146865"/>
    <w:rsid w:val="001565CC"/>
    <w:rsid w:val="00157D56"/>
    <w:rsid w:val="00164ABC"/>
    <w:rsid w:val="00166E78"/>
    <w:rsid w:val="00172187"/>
    <w:rsid w:val="00173551"/>
    <w:rsid w:val="0017623A"/>
    <w:rsid w:val="00176EC3"/>
    <w:rsid w:val="00184572"/>
    <w:rsid w:val="00186484"/>
    <w:rsid w:val="00190C44"/>
    <w:rsid w:val="00194093"/>
    <w:rsid w:val="0019429C"/>
    <w:rsid w:val="0019629F"/>
    <w:rsid w:val="001B460A"/>
    <w:rsid w:val="001B6668"/>
    <w:rsid w:val="001B7805"/>
    <w:rsid w:val="001D6FB6"/>
    <w:rsid w:val="001E102E"/>
    <w:rsid w:val="001E7698"/>
    <w:rsid w:val="001F1C79"/>
    <w:rsid w:val="002002F4"/>
    <w:rsid w:val="0020238F"/>
    <w:rsid w:val="002048E6"/>
    <w:rsid w:val="00205488"/>
    <w:rsid w:val="00207180"/>
    <w:rsid w:val="00217A0D"/>
    <w:rsid w:val="00217ACD"/>
    <w:rsid w:val="00221632"/>
    <w:rsid w:val="002362E7"/>
    <w:rsid w:val="00244CCE"/>
    <w:rsid w:val="00253ECC"/>
    <w:rsid w:val="00256D33"/>
    <w:rsid w:val="002607B7"/>
    <w:rsid w:val="002703A6"/>
    <w:rsid w:val="00270FCD"/>
    <w:rsid w:val="002719BA"/>
    <w:rsid w:val="002733C1"/>
    <w:rsid w:val="0027387F"/>
    <w:rsid w:val="0027703C"/>
    <w:rsid w:val="00281256"/>
    <w:rsid w:val="002842E7"/>
    <w:rsid w:val="00290A38"/>
    <w:rsid w:val="00293727"/>
    <w:rsid w:val="002937DF"/>
    <w:rsid w:val="002A044A"/>
    <w:rsid w:val="002B7FC4"/>
    <w:rsid w:val="002C1279"/>
    <w:rsid w:val="002C5481"/>
    <w:rsid w:val="002C696A"/>
    <w:rsid w:val="002C7A9D"/>
    <w:rsid w:val="002E4698"/>
    <w:rsid w:val="002E5CAD"/>
    <w:rsid w:val="002E6BBB"/>
    <w:rsid w:val="002F40D0"/>
    <w:rsid w:val="00300FDA"/>
    <w:rsid w:val="003027C5"/>
    <w:rsid w:val="00304A6C"/>
    <w:rsid w:val="00310A76"/>
    <w:rsid w:val="0031499F"/>
    <w:rsid w:val="003168BA"/>
    <w:rsid w:val="003257F2"/>
    <w:rsid w:val="00334410"/>
    <w:rsid w:val="003375AA"/>
    <w:rsid w:val="00347ADB"/>
    <w:rsid w:val="0035023A"/>
    <w:rsid w:val="00357893"/>
    <w:rsid w:val="0036027B"/>
    <w:rsid w:val="00363B79"/>
    <w:rsid w:val="003767A3"/>
    <w:rsid w:val="00386E34"/>
    <w:rsid w:val="00394678"/>
    <w:rsid w:val="003958E9"/>
    <w:rsid w:val="00395B44"/>
    <w:rsid w:val="00396907"/>
    <w:rsid w:val="0039711C"/>
    <w:rsid w:val="003B1C7F"/>
    <w:rsid w:val="003B30BA"/>
    <w:rsid w:val="003B40C1"/>
    <w:rsid w:val="003C719C"/>
    <w:rsid w:val="003D0E4B"/>
    <w:rsid w:val="003F001C"/>
    <w:rsid w:val="003F335E"/>
    <w:rsid w:val="003F4A6C"/>
    <w:rsid w:val="003F6328"/>
    <w:rsid w:val="00407D92"/>
    <w:rsid w:val="0041068B"/>
    <w:rsid w:val="00417864"/>
    <w:rsid w:val="00431861"/>
    <w:rsid w:val="00436DF8"/>
    <w:rsid w:val="0044497F"/>
    <w:rsid w:val="0046695A"/>
    <w:rsid w:val="00474241"/>
    <w:rsid w:val="00475A09"/>
    <w:rsid w:val="004837BC"/>
    <w:rsid w:val="00492107"/>
    <w:rsid w:val="00495E9E"/>
    <w:rsid w:val="004A2265"/>
    <w:rsid w:val="004A2920"/>
    <w:rsid w:val="004A3353"/>
    <w:rsid w:val="004A6DB3"/>
    <w:rsid w:val="004B1202"/>
    <w:rsid w:val="004B350C"/>
    <w:rsid w:val="004C2B3D"/>
    <w:rsid w:val="004C5CA9"/>
    <w:rsid w:val="004D2D8D"/>
    <w:rsid w:val="004D5A8C"/>
    <w:rsid w:val="004E10AF"/>
    <w:rsid w:val="004E4EF0"/>
    <w:rsid w:val="004F0364"/>
    <w:rsid w:val="004F22D9"/>
    <w:rsid w:val="004F462C"/>
    <w:rsid w:val="004F637F"/>
    <w:rsid w:val="004F6D20"/>
    <w:rsid w:val="00502840"/>
    <w:rsid w:val="005032E0"/>
    <w:rsid w:val="005057E0"/>
    <w:rsid w:val="00505F0D"/>
    <w:rsid w:val="00510117"/>
    <w:rsid w:val="00510B9F"/>
    <w:rsid w:val="005129B9"/>
    <w:rsid w:val="00516B89"/>
    <w:rsid w:val="0055018C"/>
    <w:rsid w:val="00552F9B"/>
    <w:rsid w:val="00553335"/>
    <w:rsid w:val="00554A52"/>
    <w:rsid w:val="00556667"/>
    <w:rsid w:val="00571B9E"/>
    <w:rsid w:val="005743D8"/>
    <w:rsid w:val="00575D8F"/>
    <w:rsid w:val="00576341"/>
    <w:rsid w:val="00581EA5"/>
    <w:rsid w:val="005875DA"/>
    <w:rsid w:val="00592DE9"/>
    <w:rsid w:val="005A7A05"/>
    <w:rsid w:val="005B234A"/>
    <w:rsid w:val="005B3E88"/>
    <w:rsid w:val="005C50F5"/>
    <w:rsid w:val="005D67A9"/>
    <w:rsid w:val="005E1D62"/>
    <w:rsid w:val="005E76F2"/>
    <w:rsid w:val="005F31B3"/>
    <w:rsid w:val="005F7BD9"/>
    <w:rsid w:val="006127ED"/>
    <w:rsid w:val="00622588"/>
    <w:rsid w:val="00633125"/>
    <w:rsid w:val="006333D1"/>
    <w:rsid w:val="006333D5"/>
    <w:rsid w:val="0063460D"/>
    <w:rsid w:val="00643784"/>
    <w:rsid w:val="00644BF8"/>
    <w:rsid w:val="006621F0"/>
    <w:rsid w:val="00673AFB"/>
    <w:rsid w:val="006825B9"/>
    <w:rsid w:val="00684250"/>
    <w:rsid w:val="0069194C"/>
    <w:rsid w:val="00695DAF"/>
    <w:rsid w:val="006D317B"/>
    <w:rsid w:val="006D71B1"/>
    <w:rsid w:val="006D7E34"/>
    <w:rsid w:val="006E1AC1"/>
    <w:rsid w:val="006E225E"/>
    <w:rsid w:val="006E2632"/>
    <w:rsid w:val="006F1E7D"/>
    <w:rsid w:val="007041F2"/>
    <w:rsid w:val="00706C64"/>
    <w:rsid w:val="00712A74"/>
    <w:rsid w:val="0071620C"/>
    <w:rsid w:val="00716FBC"/>
    <w:rsid w:val="007231DA"/>
    <w:rsid w:val="00734165"/>
    <w:rsid w:val="00734B60"/>
    <w:rsid w:val="00735E98"/>
    <w:rsid w:val="00736155"/>
    <w:rsid w:val="00737007"/>
    <w:rsid w:val="0074044B"/>
    <w:rsid w:val="0074562B"/>
    <w:rsid w:val="00747A5A"/>
    <w:rsid w:val="007601C1"/>
    <w:rsid w:val="00760537"/>
    <w:rsid w:val="00760C6B"/>
    <w:rsid w:val="00767AF1"/>
    <w:rsid w:val="007750FB"/>
    <w:rsid w:val="00775746"/>
    <w:rsid w:val="00776FB4"/>
    <w:rsid w:val="00786902"/>
    <w:rsid w:val="00790537"/>
    <w:rsid w:val="007A0E3D"/>
    <w:rsid w:val="007B2E68"/>
    <w:rsid w:val="007B6B65"/>
    <w:rsid w:val="007C2578"/>
    <w:rsid w:val="007C780B"/>
    <w:rsid w:val="007E1904"/>
    <w:rsid w:val="007E4F60"/>
    <w:rsid w:val="007E76D7"/>
    <w:rsid w:val="007F5387"/>
    <w:rsid w:val="007F6DDB"/>
    <w:rsid w:val="00827813"/>
    <w:rsid w:val="0083036D"/>
    <w:rsid w:val="00853030"/>
    <w:rsid w:val="0085341C"/>
    <w:rsid w:val="00854FE0"/>
    <w:rsid w:val="00867435"/>
    <w:rsid w:val="008757AB"/>
    <w:rsid w:val="00876E95"/>
    <w:rsid w:val="0088217B"/>
    <w:rsid w:val="00882CCB"/>
    <w:rsid w:val="0088423E"/>
    <w:rsid w:val="00890A47"/>
    <w:rsid w:val="008A54AB"/>
    <w:rsid w:val="008B1040"/>
    <w:rsid w:val="008B18C0"/>
    <w:rsid w:val="008B2447"/>
    <w:rsid w:val="008D0EBA"/>
    <w:rsid w:val="008D18CF"/>
    <w:rsid w:val="008E4564"/>
    <w:rsid w:val="008F2E0E"/>
    <w:rsid w:val="008F4F40"/>
    <w:rsid w:val="00900217"/>
    <w:rsid w:val="00904A9E"/>
    <w:rsid w:val="00906603"/>
    <w:rsid w:val="00912CF4"/>
    <w:rsid w:val="00913085"/>
    <w:rsid w:val="00917773"/>
    <w:rsid w:val="00920F51"/>
    <w:rsid w:val="0092170C"/>
    <w:rsid w:val="009315E9"/>
    <w:rsid w:val="00934167"/>
    <w:rsid w:val="009406D5"/>
    <w:rsid w:val="009545A5"/>
    <w:rsid w:val="009662E5"/>
    <w:rsid w:val="00970B11"/>
    <w:rsid w:val="009723A5"/>
    <w:rsid w:val="0097357F"/>
    <w:rsid w:val="0097549B"/>
    <w:rsid w:val="009861E2"/>
    <w:rsid w:val="009866B8"/>
    <w:rsid w:val="00987045"/>
    <w:rsid w:val="00987F79"/>
    <w:rsid w:val="009A4D2D"/>
    <w:rsid w:val="009A5558"/>
    <w:rsid w:val="009B087D"/>
    <w:rsid w:val="009B0900"/>
    <w:rsid w:val="009B20B6"/>
    <w:rsid w:val="009C2298"/>
    <w:rsid w:val="009C3937"/>
    <w:rsid w:val="009C4F46"/>
    <w:rsid w:val="009D6185"/>
    <w:rsid w:val="009E18E2"/>
    <w:rsid w:val="009E5120"/>
    <w:rsid w:val="009E53B2"/>
    <w:rsid w:val="009E56D6"/>
    <w:rsid w:val="009E5E9A"/>
    <w:rsid w:val="009E785F"/>
    <w:rsid w:val="009F3736"/>
    <w:rsid w:val="009F704C"/>
    <w:rsid w:val="00A001C3"/>
    <w:rsid w:val="00A01F7F"/>
    <w:rsid w:val="00A17C9A"/>
    <w:rsid w:val="00A27BFD"/>
    <w:rsid w:val="00A47004"/>
    <w:rsid w:val="00A4747E"/>
    <w:rsid w:val="00A540C2"/>
    <w:rsid w:val="00A542FD"/>
    <w:rsid w:val="00A54597"/>
    <w:rsid w:val="00A63752"/>
    <w:rsid w:val="00A64B78"/>
    <w:rsid w:val="00A65839"/>
    <w:rsid w:val="00A65B7F"/>
    <w:rsid w:val="00A67EFE"/>
    <w:rsid w:val="00A74A86"/>
    <w:rsid w:val="00A941E3"/>
    <w:rsid w:val="00AA5F51"/>
    <w:rsid w:val="00AC09D0"/>
    <w:rsid w:val="00AC5957"/>
    <w:rsid w:val="00AC6974"/>
    <w:rsid w:val="00AC6FA2"/>
    <w:rsid w:val="00AC6FE3"/>
    <w:rsid w:val="00AD5C49"/>
    <w:rsid w:val="00AE405B"/>
    <w:rsid w:val="00AE43D9"/>
    <w:rsid w:val="00AE709E"/>
    <w:rsid w:val="00AF1F2D"/>
    <w:rsid w:val="00B04CF2"/>
    <w:rsid w:val="00B072DD"/>
    <w:rsid w:val="00B270AD"/>
    <w:rsid w:val="00B405C3"/>
    <w:rsid w:val="00B457A1"/>
    <w:rsid w:val="00B467FE"/>
    <w:rsid w:val="00B47173"/>
    <w:rsid w:val="00B5007F"/>
    <w:rsid w:val="00B50764"/>
    <w:rsid w:val="00B521BA"/>
    <w:rsid w:val="00B55959"/>
    <w:rsid w:val="00B61896"/>
    <w:rsid w:val="00B6487B"/>
    <w:rsid w:val="00B65472"/>
    <w:rsid w:val="00B76440"/>
    <w:rsid w:val="00B766F7"/>
    <w:rsid w:val="00B916A9"/>
    <w:rsid w:val="00B96A5F"/>
    <w:rsid w:val="00BA1D54"/>
    <w:rsid w:val="00BB5916"/>
    <w:rsid w:val="00BD223F"/>
    <w:rsid w:val="00BD4A3F"/>
    <w:rsid w:val="00BE0C3C"/>
    <w:rsid w:val="00BE1335"/>
    <w:rsid w:val="00BE1CE2"/>
    <w:rsid w:val="00BE32DA"/>
    <w:rsid w:val="00BE631B"/>
    <w:rsid w:val="00BF3C38"/>
    <w:rsid w:val="00C021A4"/>
    <w:rsid w:val="00C02D79"/>
    <w:rsid w:val="00C156AE"/>
    <w:rsid w:val="00C17189"/>
    <w:rsid w:val="00C22A42"/>
    <w:rsid w:val="00C25DD9"/>
    <w:rsid w:val="00C27F51"/>
    <w:rsid w:val="00C33DF3"/>
    <w:rsid w:val="00C412A8"/>
    <w:rsid w:val="00C41AB7"/>
    <w:rsid w:val="00C41EF4"/>
    <w:rsid w:val="00C4623E"/>
    <w:rsid w:val="00C63359"/>
    <w:rsid w:val="00C67980"/>
    <w:rsid w:val="00C70D9F"/>
    <w:rsid w:val="00C73071"/>
    <w:rsid w:val="00C80854"/>
    <w:rsid w:val="00C82A02"/>
    <w:rsid w:val="00C85CEB"/>
    <w:rsid w:val="00C87391"/>
    <w:rsid w:val="00C90394"/>
    <w:rsid w:val="00C97939"/>
    <w:rsid w:val="00CA5647"/>
    <w:rsid w:val="00CB1DD8"/>
    <w:rsid w:val="00CB2EFE"/>
    <w:rsid w:val="00CC0E2D"/>
    <w:rsid w:val="00CC1C83"/>
    <w:rsid w:val="00CC44A9"/>
    <w:rsid w:val="00CC58FA"/>
    <w:rsid w:val="00CC62E2"/>
    <w:rsid w:val="00CC7084"/>
    <w:rsid w:val="00CD0702"/>
    <w:rsid w:val="00CD4D8D"/>
    <w:rsid w:val="00CD63E5"/>
    <w:rsid w:val="00CE322C"/>
    <w:rsid w:val="00CE5223"/>
    <w:rsid w:val="00CE71A3"/>
    <w:rsid w:val="00CE7891"/>
    <w:rsid w:val="00CE78EF"/>
    <w:rsid w:val="00CF1284"/>
    <w:rsid w:val="00CF3C41"/>
    <w:rsid w:val="00D02962"/>
    <w:rsid w:val="00D04C15"/>
    <w:rsid w:val="00D0531F"/>
    <w:rsid w:val="00D1144F"/>
    <w:rsid w:val="00D11FA9"/>
    <w:rsid w:val="00D21BA0"/>
    <w:rsid w:val="00D2259F"/>
    <w:rsid w:val="00D238FD"/>
    <w:rsid w:val="00D24533"/>
    <w:rsid w:val="00D360FF"/>
    <w:rsid w:val="00D44FCF"/>
    <w:rsid w:val="00D45770"/>
    <w:rsid w:val="00D77E51"/>
    <w:rsid w:val="00D8599F"/>
    <w:rsid w:val="00D94ED3"/>
    <w:rsid w:val="00D96C41"/>
    <w:rsid w:val="00DA14E6"/>
    <w:rsid w:val="00DA5C63"/>
    <w:rsid w:val="00DB1180"/>
    <w:rsid w:val="00DB3AED"/>
    <w:rsid w:val="00DB4F88"/>
    <w:rsid w:val="00DC0B41"/>
    <w:rsid w:val="00DC3F35"/>
    <w:rsid w:val="00DD783D"/>
    <w:rsid w:val="00DE1A64"/>
    <w:rsid w:val="00DE2B62"/>
    <w:rsid w:val="00DF007A"/>
    <w:rsid w:val="00DF0C83"/>
    <w:rsid w:val="00E004FF"/>
    <w:rsid w:val="00E00568"/>
    <w:rsid w:val="00E00F31"/>
    <w:rsid w:val="00E0121A"/>
    <w:rsid w:val="00E027B2"/>
    <w:rsid w:val="00E06317"/>
    <w:rsid w:val="00E068C8"/>
    <w:rsid w:val="00E14CF6"/>
    <w:rsid w:val="00E22647"/>
    <w:rsid w:val="00E56644"/>
    <w:rsid w:val="00E6074D"/>
    <w:rsid w:val="00E63DFD"/>
    <w:rsid w:val="00E64990"/>
    <w:rsid w:val="00E7021C"/>
    <w:rsid w:val="00E9108B"/>
    <w:rsid w:val="00EA1BDE"/>
    <w:rsid w:val="00EA51E2"/>
    <w:rsid w:val="00EB1983"/>
    <w:rsid w:val="00EC74CA"/>
    <w:rsid w:val="00ED230F"/>
    <w:rsid w:val="00ED4224"/>
    <w:rsid w:val="00F01D63"/>
    <w:rsid w:val="00F0347D"/>
    <w:rsid w:val="00F04790"/>
    <w:rsid w:val="00F04BFA"/>
    <w:rsid w:val="00F07778"/>
    <w:rsid w:val="00F12079"/>
    <w:rsid w:val="00F25A3A"/>
    <w:rsid w:val="00F27648"/>
    <w:rsid w:val="00F315E3"/>
    <w:rsid w:val="00F37EE5"/>
    <w:rsid w:val="00F4296E"/>
    <w:rsid w:val="00F5373D"/>
    <w:rsid w:val="00F54CDB"/>
    <w:rsid w:val="00F576D8"/>
    <w:rsid w:val="00F6734F"/>
    <w:rsid w:val="00F76734"/>
    <w:rsid w:val="00F77D68"/>
    <w:rsid w:val="00F801B4"/>
    <w:rsid w:val="00F8383D"/>
    <w:rsid w:val="00F922D7"/>
    <w:rsid w:val="00F95F52"/>
    <w:rsid w:val="00FB27D0"/>
    <w:rsid w:val="00FB48C5"/>
    <w:rsid w:val="00FC330C"/>
    <w:rsid w:val="00FC7C9B"/>
    <w:rsid w:val="00FD289A"/>
    <w:rsid w:val="00FD7840"/>
    <w:rsid w:val="00FE0853"/>
    <w:rsid w:val="154B99BF"/>
    <w:rsid w:val="16043CCD"/>
    <w:rsid w:val="4EB8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B705"/>
  <w15:chartTrackingRefBased/>
  <w15:docId w15:val="{5E49B39A-7D9A-4436-9DCF-8F2E7ADD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4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1B9E"/>
    <w:pPr>
      <w:ind w:left="720"/>
      <w:contextualSpacing/>
    </w:pPr>
  </w:style>
  <w:style w:type="paragraph" w:styleId="FootnoteText">
    <w:name w:val="footnote text"/>
    <w:basedOn w:val="Normal"/>
    <w:link w:val="FootnoteTextChar"/>
    <w:uiPriority w:val="99"/>
    <w:semiHidden/>
    <w:unhideWhenUsed/>
    <w:rsid w:val="007C2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578"/>
    <w:rPr>
      <w:sz w:val="20"/>
      <w:szCs w:val="20"/>
    </w:rPr>
  </w:style>
  <w:style w:type="character" w:styleId="FootnoteReference">
    <w:name w:val="footnote reference"/>
    <w:basedOn w:val="DefaultParagraphFont"/>
    <w:uiPriority w:val="99"/>
    <w:semiHidden/>
    <w:unhideWhenUsed/>
    <w:rsid w:val="007C2578"/>
    <w:rPr>
      <w:vertAlign w:val="superscript"/>
    </w:rPr>
  </w:style>
  <w:style w:type="paragraph" w:styleId="BalloonText">
    <w:name w:val="Balloon Text"/>
    <w:basedOn w:val="Normal"/>
    <w:link w:val="BalloonTextChar"/>
    <w:uiPriority w:val="99"/>
    <w:semiHidden/>
    <w:unhideWhenUsed/>
    <w:rsid w:val="00B916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F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E31"/>
    <w:rPr>
      <w:sz w:val="16"/>
      <w:szCs w:val="16"/>
    </w:rPr>
  </w:style>
  <w:style w:type="paragraph" w:styleId="CommentText">
    <w:name w:val="annotation text"/>
    <w:basedOn w:val="Normal"/>
    <w:link w:val="CommentTextChar"/>
    <w:uiPriority w:val="99"/>
    <w:unhideWhenUsed/>
    <w:rsid w:val="00103E31"/>
    <w:pPr>
      <w:spacing w:line="240" w:lineRule="auto"/>
    </w:pPr>
    <w:rPr>
      <w:sz w:val="20"/>
      <w:szCs w:val="20"/>
    </w:rPr>
  </w:style>
  <w:style w:type="character" w:customStyle="1" w:styleId="CommentTextChar">
    <w:name w:val="Comment Text Char"/>
    <w:basedOn w:val="DefaultParagraphFont"/>
    <w:link w:val="CommentText"/>
    <w:uiPriority w:val="99"/>
    <w:rsid w:val="00103E31"/>
    <w:rPr>
      <w:sz w:val="20"/>
      <w:szCs w:val="20"/>
    </w:rPr>
  </w:style>
  <w:style w:type="paragraph" w:styleId="CommentSubject">
    <w:name w:val="annotation subject"/>
    <w:basedOn w:val="CommentText"/>
    <w:next w:val="CommentText"/>
    <w:link w:val="CommentSubjectChar"/>
    <w:uiPriority w:val="99"/>
    <w:semiHidden/>
    <w:unhideWhenUsed/>
    <w:rsid w:val="00103E31"/>
    <w:rPr>
      <w:b/>
      <w:bCs/>
    </w:rPr>
  </w:style>
  <w:style w:type="character" w:customStyle="1" w:styleId="CommentSubjectChar">
    <w:name w:val="Comment Subject Char"/>
    <w:basedOn w:val="CommentTextChar"/>
    <w:link w:val="CommentSubject"/>
    <w:uiPriority w:val="99"/>
    <w:semiHidden/>
    <w:rsid w:val="00103E31"/>
    <w:rPr>
      <w:b/>
      <w:bCs/>
      <w:sz w:val="20"/>
      <w:szCs w:val="20"/>
    </w:rPr>
  </w:style>
  <w:style w:type="character" w:styleId="Hyperlink">
    <w:name w:val="Hyperlink"/>
    <w:basedOn w:val="DefaultParagraphFont"/>
    <w:uiPriority w:val="99"/>
    <w:unhideWhenUsed/>
    <w:rsid w:val="000262D3"/>
    <w:rPr>
      <w:color w:val="0563C1" w:themeColor="hyperlink"/>
      <w:u w:val="single"/>
    </w:rPr>
  </w:style>
  <w:style w:type="character" w:styleId="UnresolvedMention">
    <w:name w:val="Unresolved Mention"/>
    <w:basedOn w:val="DefaultParagraphFont"/>
    <w:uiPriority w:val="99"/>
    <w:semiHidden/>
    <w:unhideWhenUsed/>
    <w:rsid w:val="00735E98"/>
    <w:rPr>
      <w:color w:val="605E5C"/>
      <w:shd w:val="clear" w:color="auto" w:fill="E1DFDD"/>
    </w:rPr>
  </w:style>
  <w:style w:type="character" w:styleId="Strong">
    <w:name w:val="Strong"/>
    <w:basedOn w:val="DefaultParagraphFont"/>
    <w:uiPriority w:val="22"/>
    <w:qFormat/>
    <w:rsid w:val="00BE1CE2"/>
    <w:rPr>
      <w:b/>
      <w:bCs/>
    </w:rPr>
  </w:style>
  <w:style w:type="character" w:customStyle="1" w:styleId="ms-rteforecolor-2">
    <w:name w:val="ms-rteforecolor-2"/>
    <w:basedOn w:val="DefaultParagraphFont"/>
    <w:rsid w:val="00BE1CE2"/>
  </w:style>
  <w:style w:type="paragraph" w:styleId="Header">
    <w:name w:val="header"/>
    <w:basedOn w:val="Normal"/>
    <w:link w:val="HeaderChar"/>
    <w:uiPriority w:val="99"/>
    <w:unhideWhenUsed/>
    <w:rsid w:val="00FB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C5"/>
  </w:style>
  <w:style w:type="paragraph" w:styleId="Footer">
    <w:name w:val="footer"/>
    <w:basedOn w:val="Normal"/>
    <w:link w:val="FooterChar"/>
    <w:uiPriority w:val="99"/>
    <w:unhideWhenUsed/>
    <w:rsid w:val="00FB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C5"/>
  </w:style>
  <w:style w:type="character" w:customStyle="1" w:styleId="apple-converted-space">
    <w:name w:val="apple-converted-space"/>
    <w:basedOn w:val="DefaultParagraphFont"/>
    <w:rsid w:val="005057E0"/>
  </w:style>
  <w:style w:type="paragraph" w:customStyle="1" w:styleId="Default">
    <w:name w:val="Default"/>
    <w:rsid w:val="005D67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gdown-block">
    <w:name w:val="regdown-block"/>
    <w:basedOn w:val="Normal"/>
    <w:rsid w:val="005D67A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335E"/>
    <w:rPr>
      <w:color w:val="954F72" w:themeColor="followedHyperlink"/>
      <w:u w:val="single"/>
    </w:rPr>
  </w:style>
  <w:style w:type="character" w:styleId="PageNumber">
    <w:name w:val="page number"/>
    <w:basedOn w:val="DefaultParagraphFont"/>
    <w:uiPriority w:val="99"/>
    <w:semiHidden/>
    <w:unhideWhenUsed/>
    <w:rsid w:val="00554A52"/>
  </w:style>
  <w:style w:type="paragraph" w:styleId="NoSpacing">
    <w:name w:val="No Spacing"/>
    <w:uiPriority w:val="1"/>
    <w:qFormat/>
    <w:rsid w:val="00CC62E2"/>
    <w:pPr>
      <w:spacing w:after="0" w:line="240" w:lineRule="auto"/>
    </w:pPr>
  </w:style>
  <w:style w:type="character" w:customStyle="1" w:styleId="A8">
    <w:name w:val="A8"/>
    <w:uiPriority w:val="99"/>
    <w:rsid w:val="00A65B7F"/>
    <w:rPr>
      <w:rFonts w:cs="Interstate LightCondensed"/>
      <w:color w:val="57585A"/>
      <w:sz w:val="30"/>
      <w:szCs w:val="30"/>
    </w:rPr>
  </w:style>
  <w:style w:type="character" w:customStyle="1" w:styleId="A9">
    <w:name w:val="A9"/>
    <w:uiPriority w:val="99"/>
    <w:rsid w:val="00A65B7F"/>
    <w:rPr>
      <w:rFonts w:cs="Interstate BoldCondensed"/>
      <w:b/>
      <w:bCs/>
      <w:color w:val="FFFFFF"/>
      <w:sz w:val="34"/>
      <w:szCs w:val="34"/>
    </w:rPr>
  </w:style>
  <w:style w:type="character" w:styleId="Emphasis">
    <w:name w:val="Emphasis"/>
    <w:basedOn w:val="DefaultParagraphFont"/>
    <w:uiPriority w:val="20"/>
    <w:qFormat/>
    <w:rsid w:val="001D6FB6"/>
    <w:rPr>
      <w:i/>
      <w:iCs/>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33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1731">
      <w:bodyDiv w:val="1"/>
      <w:marLeft w:val="0"/>
      <w:marRight w:val="0"/>
      <w:marTop w:val="0"/>
      <w:marBottom w:val="0"/>
      <w:divBdr>
        <w:top w:val="none" w:sz="0" w:space="0" w:color="auto"/>
        <w:left w:val="none" w:sz="0" w:space="0" w:color="auto"/>
        <w:bottom w:val="none" w:sz="0" w:space="0" w:color="auto"/>
        <w:right w:val="none" w:sz="0" w:space="0" w:color="auto"/>
      </w:divBdr>
      <w:divsChild>
        <w:div w:id="993148192">
          <w:marLeft w:val="0"/>
          <w:marRight w:val="0"/>
          <w:marTop w:val="0"/>
          <w:marBottom w:val="0"/>
          <w:divBdr>
            <w:top w:val="none" w:sz="0" w:space="0" w:color="auto"/>
            <w:left w:val="none" w:sz="0" w:space="0" w:color="auto"/>
            <w:bottom w:val="none" w:sz="0" w:space="0" w:color="auto"/>
            <w:right w:val="none" w:sz="0" w:space="0" w:color="auto"/>
          </w:divBdr>
          <w:divsChild>
            <w:div w:id="1914705016">
              <w:marLeft w:val="0"/>
              <w:marRight w:val="0"/>
              <w:marTop w:val="0"/>
              <w:marBottom w:val="0"/>
              <w:divBdr>
                <w:top w:val="none" w:sz="0" w:space="0" w:color="auto"/>
                <w:left w:val="none" w:sz="0" w:space="0" w:color="auto"/>
                <w:bottom w:val="none" w:sz="0" w:space="0" w:color="auto"/>
                <w:right w:val="none" w:sz="0" w:space="0" w:color="auto"/>
              </w:divBdr>
              <w:divsChild>
                <w:div w:id="1570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825">
      <w:bodyDiv w:val="1"/>
      <w:marLeft w:val="0"/>
      <w:marRight w:val="0"/>
      <w:marTop w:val="0"/>
      <w:marBottom w:val="0"/>
      <w:divBdr>
        <w:top w:val="none" w:sz="0" w:space="0" w:color="auto"/>
        <w:left w:val="none" w:sz="0" w:space="0" w:color="auto"/>
        <w:bottom w:val="none" w:sz="0" w:space="0" w:color="auto"/>
        <w:right w:val="none" w:sz="0" w:space="0" w:color="auto"/>
      </w:divBdr>
    </w:div>
    <w:div w:id="491606224">
      <w:bodyDiv w:val="1"/>
      <w:marLeft w:val="0"/>
      <w:marRight w:val="0"/>
      <w:marTop w:val="0"/>
      <w:marBottom w:val="0"/>
      <w:divBdr>
        <w:top w:val="none" w:sz="0" w:space="0" w:color="auto"/>
        <w:left w:val="none" w:sz="0" w:space="0" w:color="auto"/>
        <w:bottom w:val="none" w:sz="0" w:space="0" w:color="auto"/>
        <w:right w:val="none" w:sz="0" w:space="0" w:color="auto"/>
      </w:divBdr>
    </w:div>
    <w:div w:id="539706299">
      <w:bodyDiv w:val="1"/>
      <w:marLeft w:val="0"/>
      <w:marRight w:val="0"/>
      <w:marTop w:val="0"/>
      <w:marBottom w:val="0"/>
      <w:divBdr>
        <w:top w:val="none" w:sz="0" w:space="0" w:color="auto"/>
        <w:left w:val="none" w:sz="0" w:space="0" w:color="auto"/>
        <w:bottom w:val="none" w:sz="0" w:space="0" w:color="auto"/>
        <w:right w:val="none" w:sz="0" w:space="0" w:color="auto"/>
      </w:divBdr>
    </w:div>
    <w:div w:id="6581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45139">
          <w:marLeft w:val="0"/>
          <w:marRight w:val="0"/>
          <w:marTop w:val="0"/>
          <w:marBottom w:val="0"/>
          <w:divBdr>
            <w:top w:val="none" w:sz="0" w:space="0" w:color="auto"/>
            <w:left w:val="none" w:sz="0" w:space="0" w:color="auto"/>
            <w:bottom w:val="none" w:sz="0" w:space="0" w:color="auto"/>
            <w:right w:val="none" w:sz="0" w:space="0" w:color="auto"/>
          </w:divBdr>
        </w:div>
        <w:div w:id="1619944883">
          <w:marLeft w:val="0"/>
          <w:marRight w:val="0"/>
          <w:marTop w:val="0"/>
          <w:marBottom w:val="0"/>
          <w:divBdr>
            <w:top w:val="none" w:sz="0" w:space="0" w:color="auto"/>
            <w:left w:val="none" w:sz="0" w:space="0" w:color="auto"/>
            <w:bottom w:val="none" w:sz="0" w:space="0" w:color="auto"/>
            <w:right w:val="none" w:sz="0" w:space="0" w:color="auto"/>
          </w:divBdr>
        </w:div>
      </w:divsChild>
    </w:div>
    <w:div w:id="802649962">
      <w:bodyDiv w:val="1"/>
      <w:marLeft w:val="0"/>
      <w:marRight w:val="0"/>
      <w:marTop w:val="0"/>
      <w:marBottom w:val="0"/>
      <w:divBdr>
        <w:top w:val="none" w:sz="0" w:space="0" w:color="auto"/>
        <w:left w:val="none" w:sz="0" w:space="0" w:color="auto"/>
        <w:bottom w:val="none" w:sz="0" w:space="0" w:color="auto"/>
        <w:right w:val="none" w:sz="0" w:space="0" w:color="auto"/>
      </w:divBdr>
    </w:div>
    <w:div w:id="893933795">
      <w:bodyDiv w:val="1"/>
      <w:marLeft w:val="0"/>
      <w:marRight w:val="0"/>
      <w:marTop w:val="0"/>
      <w:marBottom w:val="0"/>
      <w:divBdr>
        <w:top w:val="none" w:sz="0" w:space="0" w:color="auto"/>
        <w:left w:val="none" w:sz="0" w:space="0" w:color="auto"/>
        <w:bottom w:val="none" w:sz="0" w:space="0" w:color="auto"/>
        <w:right w:val="none" w:sz="0" w:space="0" w:color="auto"/>
      </w:divBdr>
    </w:div>
    <w:div w:id="1261330507">
      <w:bodyDiv w:val="1"/>
      <w:marLeft w:val="0"/>
      <w:marRight w:val="0"/>
      <w:marTop w:val="0"/>
      <w:marBottom w:val="0"/>
      <w:divBdr>
        <w:top w:val="none" w:sz="0" w:space="0" w:color="auto"/>
        <w:left w:val="none" w:sz="0" w:space="0" w:color="auto"/>
        <w:bottom w:val="none" w:sz="0" w:space="0" w:color="auto"/>
        <w:right w:val="none" w:sz="0" w:space="0" w:color="auto"/>
      </w:divBdr>
      <w:divsChild>
        <w:div w:id="1231618844">
          <w:marLeft w:val="0"/>
          <w:marRight w:val="0"/>
          <w:marTop w:val="327"/>
          <w:marBottom w:val="200"/>
          <w:divBdr>
            <w:top w:val="none" w:sz="0" w:space="0" w:color="auto"/>
            <w:left w:val="none" w:sz="0" w:space="0" w:color="auto"/>
            <w:bottom w:val="none" w:sz="0" w:space="0" w:color="auto"/>
            <w:right w:val="none" w:sz="0" w:space="0" w:color="auto"/>
          </w:divBdr>
        </w:div>
      </w:divsChild>
    </w:div>
    <w:div w:id="1266232104">
      <w:bodyDiv w:val="1"/>
      <w:marLeft w:val="0"/>
      <w:marRight w:val="0"/>
      <w:marTop w:val="0"/>
      <w:marBottom w:val="0"/>
      <w:divBdr>
        <w:top w:val="none" w:sz="0" w:space="0" w:color="auto"/>
        <w:left w:val="none" w:sz="0" w:space="0" w:color="auto"/>
        <w:bottom w:val="none" w:sz="0" w:space="0" w:color="auto"/>
        <w:right w:val="none" w:sz="0" w:space="0" w:color="auto"/>
      </w:divBdr>
    </w:div>
    <w:div w:id="1408191697">
      <w:bodyDiv w:val="1"/>
      <w:marLeft w:val="0"/>
      <w:marRight w:val="0"/>
      <w:marTop w:val="0"/>
      <w:marBottom w:val="0"/>
      <w:divBdr>
        <w:top w:val="none" w:sz="0" w:space="0" w:color="auto"/>
        <w:left w:val="none" w:sz="0" w:space="0" w:color="auto"/>
        <w:bottom w:val="none" w:sz="0" w:space="0" w:color="auto"/>
        <w:right w:val="none" w:sz="0" w:space="0" w:color="auto"/>
      </w:divBdr>
    </w:div>
    <w:div w:id="1727991590">
      <w:bodyDiv w:val="1"/>
      <w:marLeft w:val="0"/>
      <w:marRight w:val="0"/>
      <w:marTop w:val="0"/>
      <w:marBottom w:val="0"/>
      <w:divBdr>
        <w:top w:val="none" w:sz="0" w:space="0" w:color="auto"/>
        <w:left w:val="none" w:sz="0" w:space="0" w:color="auto"/>
        <w:bottom w:val="none" w:sz="0" w:space="0" w:color="auto"/>
        <w:right w:val="none" w:sz="0" w:space="0" w:color="auto"/>
      </w:divBdr>
    </w:div>
    <w:div w:id="1914392321">
      <w:bodyDiv w:val="1"/>
      <w:marLeft w:val="0"/>
      <w:marRight w:val="0"/>
      <w:marTop w:val="0"/>
      <w:marBottom w:val="0"/>
      <w:divBdr>
        <w:top w:val="none" w:sz="0" w:space="0" w:color="auto"/>
        <w:left w:val="none" w:sz="0" w:space="0" w:color="auto"/>
        <w:bottom w:val="none" w:sz="0" w:space="0" w:color="auto"/>
        <w:right w:val="none" w:sz="0" w:space="0" w:color="auto"/>
      </w:divBdr>
    </w:div>
    <w:div w:id="2105496230">
      <w:bodyDiv w:val="1"/>
      <w:marLeft w:val="0"/>
      <w:marRight w:val="0"/>
      <w:marTop w:val="0"/>
      <w:marBottom w:val="0"/>
      <w:divBdr>
        <w:top w:val="none" w:sz="0" w:space="0" w:color="auto"/>
        <w:left w:val="none" w:sz="0" w:space="0" w:color="auto"/>
        <w:bottom w:val="none" w:sz="0" w:space="0" w:color="auto"/>
        <w:right w:val="none" w:sz="0" w:space="0" w:color="auto"/>
      </w:divBdr>
      <w:divsChild>
        <w:div w:id="1468208253">
          <w:marLeft w:val="0"/>
          <w:marRight w:val="0"/>
          <w:marTop w:val="0"/>
          <w:marBottom w:val="0"/>
          <w:divBdr>
            <w:top w:val="none" w:sz="0" w:space="0" w:color="auto"/>
            <w:left w:val="none" w:sz="0" w:space="0" w:color="auto"/>
            <w:bottom w:val="none" w:sz="0" w:space="0" w:color="auto"/>
            <w:right w:val="none" w:sz="0" w:space="0" w:color="auto"/>
          </w:divBdr>
          <w:divsChild>
            <w:div w:id="1151874778">
              <w:marLeft w:val="0"/>
              <w:marRight w:val="0"/>
              <w:marTop w:val="0"/>
              <w:marBottom w:val="0"/>
              <w:divBdr>
                <w:top w:val="none" w:sz="0" w:space="0" w:color="auto"/>
                <w:left w:val="none" w:sz="0" w:space="0" w:color="auto"/>
                <w:bottom w:val="none" w:sz="0" w:space="0" w:color="auto"/>
                <w:right w:val="none" w:sz="0" w:space="0" w:color="auto"/>
              </w:divBdr>
              <w:divsChild>
                <w:div w:id="946353547">
                  <w:marLeft w:val="0"/>
                  <w:marRight w:val="0"/>
                  <w:marTop w:val="0"/>
                  <w:marBottom w:val="0"/>
                  <w:divBdr>
                    <w:top w:val="none" w:sz="0" w:space="0" w:color="auto"/>
                    <w:left w:val="none" w:sz="0" w:space="0" w:color="auto"/>
                    <w:bottom w:val="none" w:sz="0" w:space="0" w:color="auto"/>
                    <w:right w:val="none" w:sz="0" w:space="0" w:color="auto"/>
                  </w:divBdr>
                </w:div>
                <w:div w:id="456339060">
                  <w:marLeft w:val="0"/>
                  <w:marRight w:val="0"/>
                  <w:marTop w:val="0"/>
                  <w:marBottom w:val="0"/>
                  <w:divBdr>
                    <w:top w:val="none" w:sz="0" w:space="0" w:color="auto"/>
                    <w:left w:val="none" w:sz="0" w:space="0" w:color="auto"/>
                    <w:bottom w:val="none" w:sz="0" w:space="0" w:color="auto"/>
                    <w:right w:val="none" w:sz="0" w:space="0" w:color="auto"/>
                  </w:divBdr>
                </w:div>
                <w:div w:id="452284612">
                  <w:marLeft w:val="0"/>
                  <w:marRight w:val="0"/>
                  <w:marTop w:val="0"/>
                  <w:marBottom w:val="0"/>
                  <w:divBdr>
                    <w:top w:val="none" w:sz="0" w:space="0" w:color="auto"/>
                    <w:left w:val="none" w:sz="0" w:space="0" w:color="auto"/>
                    <w:bottom w:val="none" w:sz="0" w:space="0" w:color="auto"/>
                    <w:right w:val="none" w:sz="0" w:space="0" w:color="auto"/>
                  </w:divBdr>
                </w:div>
                <w:div w:id="487942994">
                  <w:marLeft w:val="0"/>
                  <w:marRight w:val="0"/>
                  <w:marTop w:val="0"/>
                  <w:marBottom w:val="0"/>
                  <w:divBdr>
                    <w:top w:val="none" w:sz="0" w:space="0" w:color="auto"/>
                    <w:left w:val="none" w:sz="0" w:space="0" w:color="auto"/>
                    <w:bottom w:val="none" w:sz="0" w:space="0" w:color="auto"/>
                    <w:right w:val="none" w:sz="0" w:space="0" w:color="auto"/>
                  </w:divBdr>
                </w:div>
                <w:div w:id="1091120343">
                  <w:marLeft w:val="0"/>
                  <w:marRight w:val="0"/>
                  <w:marTop w:val="0"/>
                  <w:marBottom w:val="0"/>
                  <w:divBdr>
                    <w:top w:val="none" w:sz="0" w:space="0" w:color="auto"/>
                    <w:left w:val="none" w:sz="0" w:space="0" w:color="auto"/>
                    <w:bottom w:val="none" w:sz="0" w:space="0" w:color="auto"/>
                    <w:right w:val="none" w:sz="0" w:space="0" w:color="auto"/>
                  </w:divBdr>
                </w:div>
                <w:div w:id="1015497041">
                  <w:marLeft w:val="0"/>
                  <w:marRight w:val="0"/>
                  <w:marTop w:val="0"/>
                  <w:marBottom w:val="0"/>
                  <w:divBdr>
                    <w:top w:val="none" w:sz="0" w:space="0" w:color="auto"/>
                    <w:left w:val="none" w:sz="0" w:space="0" w:color="auto"/>
                    <w:bottom w:val="none" w:sz="0" w:space="0" w:color="auto"/>
                    <w:right w:val="none" w:sz="0" w:space="0" w:color="auto"/>
                  </w:divBdr>
                </w:div>
                <w:div w:id="1602105793">
                  <w:marLeft w:val="0"/>
                  <w:marRight w:val="0"/>
                  <w:marTop w:val="0"/>
                  <w:marBottom w:val="0"/>
                  <w:divBdr>
                    <w:top w:val="none" w:sz="0" w:space="0" w:color="auto"/>
                    <w:left w:val="none" w:sz="0" w:space="0" w:color="auto"/>
                    <w:bottom w:val="none" w:sz="0" w:space="0" w:color="auto"/>
                    <w:right w:val="none" w:sz="0" w:space="0" w:color="auto"/>
                  </w:divBdr>
                </w:div>
                <w:div w:id="1037631565">
                  <w:marLeft w:val="0"/>
                  <w:marRight w:val="0"/>
                  <w:marTop w:val="0"/>
                  <w:marBottom w:val="0"/>
                  <w:divBdr>
                    <w:top w:val="none" w:sz="0" w:space="0" w:color="auto"/>
                    <w:left w:val="none" w:sz="0" w:space="0" w:color="auto"/>
                    <w:bottom w:val="none" w:sz="0" w:space="0" w:color="auto"/>
                    <w:right w:val="none" w:sz="0" w:space="0" w:color="auto"/>
                  </w:divBdr>
                </w:div>
                <w:div w:id="528371658">
                  <w:marLeft w:val="0"/>
                  <w:marRight w:val="0"/>
                  <w:marTop w:val="0"/>
                  <w:marBottom w:val="0"/>
                  <w:divBdr>
                    <w:top w:val="none" w:sz="0" w:space="0" w:color="auto"/>
                    <w:left w:val="none" w:sz="0" w:space="0" w:color="auto"/>
                    <w:bottom w:val="none" w:sz="0" w:space="0" w:color="auto"/>
                    <w:right w:val="none" w:sz="0" w:space="0" w:color="auto"/>
                  </w:divBdr>
                </w:div>
                <w:div w:id="183791746">
                  <w:marLeft w:val="0"/>
                  <w:marRight w:val="0"/>
                  <w:marTop w:val="0"/>
                  <w:marBottom w:val="0"/>
                  <w:divBdr>
                    <w:top w:val="none" w:sz="0" w:space="0" w:color="auto"/>
                    <w:left w:val="none" w:sz="0" w:space="0" w:color="auto"/>
                    <w:bottom w:val="none" w:sz="0" w:space="0" w:color="auto"/>
                    <w:right w:val="none" w:sz="0" w:space="0" w:color="auto"/>
                  </w:divBdr>
                </w:div>
                <w:div w:id="1698503995">
                  <w:marLeft w:val="0"/>
                  <w:marRight w:val="0"/>
                  <w:marTop w:val="0"/>
                  <w:marBottom w:val="0"/>
                  <w:divBdr>
                    <w:top w:val="none" w:sz="0" w:space="0" w:color="auto"/>
                    <w:left w:val="none" w:sz="0" w:space="0" w:color="auto"/>
                    <w:bottom w:val="none" w:sz="0" w:space="0" w:color="auto"/>
                    <w:right w:val="none" w:sz="0" w:space="0" w:color="auto"/>
                  </w:divBdr>
                </w:div>
                <w:div w:id="1893733821">
                  <w:marLeft w:val="0"/>
                  <w:marRight w:val="0"/>
                  <w:marTop w:val="0"/>
                  <w:marBottom w:val="0"/>
                  <w:divBdr>
                    <w:top w:val="none" w:sz="0" w:space="0" w:color="auto"/>
                    <w:left w:val="none" w:sz="0" w:space="0" w:color="auto"/>
                    <w:bottom w:val="none" w:sz="0" w:space="0" w:color="auto"/>
                    <w:right w:val="none" w:sz="0" w:space="0" w:color="auto"/>
                  </w:divBdr>
                </w:div>
                <w:div w:id="2227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moodysanalytics.com/-/media/article/2021/macro-consequences-of-racial-integration.pdf" TargetMode="External"/><Relationship Id="rId18" Type="http://schemas.openxmlformats.org/officeDocument/2006/relationships/hyperlink" Target="https://www.skadden.com/en/insights/publications/2020/07/special-purpose-credit-programs" TargetMode="External"/><Relationship Id="rId26" Type="http://schemas.openxmlformats.org/officeDocument/2006/relationships/hyperlink" Target="about:blank" TargetMode="External"/><Relationship Id="rId39" Type="http://schemas.openxmlformats.org/officeDocument/2006/relationships/hyperlink" Target="https://www.ecfr.gov/current/title-24/subtitle-A/part-5/subpart-A/subject-group-ECFRb064b8192adda7c/section-5.151" TargetMode="External"/><Relationship Id="rId21" Type="http://schemas.openxmlformats.org/officeDocument/2006/relationships/hyperlink" Target="https://www.federalreserve.gov/econres/notes/feds-notes/are-income-and-credit-scores-highly-correlated-20180813.htm" TargetMode="External"/><Relationship Id="rId34" Type="http://schemas.openxmlformats.org/officeDocument/2006/relationships/hyperlink" Target="about:blank" TargetMode="External"/><Relationship Id="rId42" Type="http://schemas.openxmlformats.org/officeDocument/2006/relationships/hyperlink" Target="https://www.fhfa.gov/DataTools/Downloads/Pages/Duty-to-Serve-Data.aspx" TargetMode="External"/><Relationship Id="rId47" Type="http://schemas.openxmlformats.org/officeDocument/2006/relationships/hyperlink" Target="https://www.urban.org/renters-and-rental-market-crisis-working-group"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https://www.urban.org/urban-wire/closing-homeownership-gap-will-require-rooting-systemic-racism-out-mortgage-underwriting" TargetMode="External"/><Relationship Id="rId29" Type="http://schemas.openxmlformats.org/officeDocument/2006/relationships/hyperlink" Target="about:blank" TargetMode="External"/><Relationship Id="rId11" Type="http://schemas.openxmlformats.org/officeDocument/2006/relationships/hyperlink" Target="https://www.urban.org/sites/default/files/publication/103501/the-future-of-headship-and-homeownership_0.pdf"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www.hud.gov/sites/documents/DEFOPPPANELDATAMAPRESO.PDF" TargetMode="External"/><Relationship Id="rId40" Type="http://schemas.openxmlformats.org/officeDocument/2006/relationships/hyperlink" Target="https://www.lincolninst.edu/publications/working-papers/duty-to-serve" TargetMode="External"/><Relationship Id="rId45" Type="http://schemas.openxmlformats.org/officeDocument/2006/relationships/hyperlink" Target="https://www.fhfa.gov/AboutUs/reportsplans/Pages/All-Reports.aspx" TargetMode="External"/><Relationship Id="rId5" Type="http://schemas.openxmlformats.org/officeDocument/2006/relationships/hyperlink" Target="https://www.bostonfed.org/publications/research-department-working-paper/2020/mortgage-prepayment-race-and-monetary-policy.aspx" TargetMode="External"/><Relationship Id="rId15" Type="http://schemas.openxmlformats.org/officeDocument/2006/relationships/hyperlink" Target="https://www.urban.org/policy-centers/housing-finance-policy-center/projects/housing-credit-availability-index" TargetMode="External"/><Relationship Id="rId23" Type="http://schemas.openxmlformats.org/officeDocument/2006/relationships/hyperlink" Target="https://www.urban.org/urban-wire/three-ways-housing-finance-system-can-protect-all-homeowners-escalating-effects-climate-change" TargetMode="External"/><Relationship Id="rId28" Type="http://schemas.openxmlformats.org/officeDocument/2006/relationships/hyperlink" Target="about:blank" TargetMode="External"/><Relationship Id="rId36" Type="http://schemas.openxmlformats.org/officeDocument/2006/relationships/hyperlink" Target="https://www.ecfr.gov/current/title-24/subtitle-A/part-5/subpart-A/subject-group-ECFRb064b8192adda7c/section-5.151" TargetMode="External"/><Relationship Id="rId49" Type="http://schemas.openxmlformats.org/officeDocument/2006/relationships/hyperlink" Target="https://www.urban.org/sites/default/files/publication/104487/centering-racial-equity-in-measurement-and-evaluation_0.pdf" TargetMode="External"/><Relationship Id="rId10" Type="http://schemas.openxmlformats.org/officeDocument/2006/relationships/hyperlink" Target="https://ncrc.org/holc/" TargetMode="External"/><Relationship Id="rId19" Type="http://schemas.openxmlformats.org/officeDocument/2006/relationships/hyperlink" Target="https://www.consumerfinance.gov/rules-policy/final-rules/advisory-opinion-on-special-purpose-credit-programs/" TargetMode="External"/><Relationship Id="rId31" Type="http://schemas.openxmlformats.org/officeDocument/2006/relationships/hyperlink" Target="about:blank" TargetMode="External"/><Relationship Id="rId44" Type="http://schemas.openxmlformats.org/officeDocument/2006/relationships/hyperlink" Target="http://www.freddiemac.com/fmac-resources/research/pdf/202109-Note-Appraisal-Gap.pdf"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https://ir.citi.com/NvIUklHPilz14Hwd3oxqZBLMn1_XPqo5FrxsZD0x6hhil84ZxaxEuJUWmak51UHvYk75VKeHCMI%3D" TargetMode="External"/><Relationship Id="rId22" Type="http://schemas.openxmlformats.org/officeDocument/2006/relationships/hyperlink" Target="https://prospect.org/economy/how-to-start-closing-the-racial-wealth-gap/"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www.ecfr.gov/current/title-24/subtitle-A/part-5/subpart-A/subject-group-ECFRb064b8192adda7c/section-5.151" TargetMode="External"/><Relationship Id="rId43" Type="http://schemas.openxmlformats.org/officeDocument/2006/relationships/hyperlink" Target="https://capitalmarkets.fanniemae.com/credit-risk-transfer/single-family-credit-risk-transfer/fannie-mae-enhance-its-single-family-credit-risk-transfer-disclosures" TargetMode="External"/><Relationship Id="rId48" Type="http://schemas.openxmlformats.org/officeDocument/2006/relationships/hyperlink" Target="https://www.consumerfinance.gov/rules-policy/advisory-committees/consumer-advisory-board/" TargetMode="External"/><Relationship Id="rId8" Type="http://schemas.openxmlformats.org/officeDocument/2006/relationships/hyperlink" Target="about:blank" TargetMode="External"/><Relationship Id="rId3" Type="http://schemas.openxmlformats.org/officeDocument/2006/relationships/hyperlink" Target="https://data.census.gov/cedsci/table?q=Tenure&amp;tid=ACSST1Y2019.S2502" TargetMode="External"/><Relationship Id="rId12" Type="http://schemas.openxmlformats.org/officeDocument/2006/relationships/hyperlink" Target="https://www.citigroup.com/citi/racial-equity/data/minority-depository-institutions-brochure.pdf" TargetMode="External"/><Relationship Id="rId17" Type="http://schemas.openxmlformats.org/officeDocument/2006/relationships/hyperlink" Target="https://nationalfairhousing.org/using-spcps-blog/"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www.fhfa.gov/PolicyProgramsResearch/Policy/Pages/Executive-Compensation.aspx" TargetMode="External"/><Relationship Id="rId20" Type="http://schemas.openxmlformats.org/officeDocument/2006/relationships/hyperlink" Target="https://home.treasury.gov/news/press-releases/sm1236" TargetMode="External"/><Relationship Id="rId41" Type="http://schemas.openxmlformats.org/officeDocument/2006/relationships/hyperlink" Target="https://capitalmarkets.fanniemae.com/credit-risk-transfer/single-family-credit-risk-transfer/fannie-mae-enhance-its-single-family-credit-risk-transfer-disclosures"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8AE09-5F8C-4D72-94CB-0F812195B613}">
  <ds:schemaRefs>
    <ds:schemaRef ds:uri="http://schemas.openxmlformats.org/officeDocument/2006/bibliography"/>
  </ds:schemaRefs>
</ds:datastoreItem>
</file>

<file path=customXml/itemProps2.xml><?xml version="1.0" encoding="utf-8"?>
<ds:datastoreItem xmlns:ds="http://schemas.openxmlformats.org/officeDocument/2006/customXml" ds:itemID="{76FFC10C-19F2-43D1-9FE6-2B31DF325024}"/>
</file>

<file path=customXml/itemProps3.xml><?xml version="1.0" encoding="utf-8"?>
<ds:datastoreItem xmlns:ds="http://schemas.openxmlformats.org/officeDocument/2006/customXml" ds:itemID="{1890F69D-FE53-41CE-BD85-06948BBDD7B6}"/>
</file>

<file path=customXml/itemProps4.xml><?xml version="1.0" encoding="utf-8"?>
<ds:datastoreItem xmlns:ds="http://schemas.openxmlformats.org/officeDocument/2006/customXml" ds:itemID="{756577E6-C5EB-4F52-8B88-E20EF9D55595}"/>
</file>

<file path=docProps/app.xml><?xml version="1.0" encoding="utf-8"?>
<Properties xmlns="http://schemas.openxmlformats.org/officeDocument/2006/extended-properties" xmlns:vt="http://schemas.openxmlformats.org/officeDocument/2006/docPropsVTypes">
  <Template>Normal</Template>
  <TotalTime>16</TotalTime>
  <Pages>11</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Stegman</dc:creator>
  <cp:keywords/>
  <dc:description/>
  <cp:lastModifiedBy>Pang, Daniel</cp:lastModifiedBy>
  <cp:revision>4</cp:revision>
  <dcterms:created xsi:type="dcterms:W3CDTF">2021-10-25T20:36:00Z</dcterms:created>
  <dcterms:modified xsi:type="dcterms:W3CDTF">2021-10-25T21:17:00Z</dcterms:modified>
</cp:coreProperties>
</file>