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8020" w:type="dxa"/>
        <w:tblInd w:w="-144" w:type="dxa"/>
        <w:tblBorders>
          <w:top w:val="none" w:sz="0" w:space="0" w:color="auto"/>
          <w:left w:val="none" w:sz="0" w:space="0" w:color="auto"/>
          <w:bottom w:val="single" w:sz="8" w:space="0" w:color="CCCCCC" w:themeColor="background2"/>
          <w:right w:val="none" w:sz="0" w:space="0" w:color="auto"/>
          <w:insideH w:val="none" w:sz="0" w:space="0" w:color="auto"/>
          <w:insideV w:val="none" w:sz="0" w:space="0" w:color="auto"/>
        </w:tblBorders>
        <w:tblLayout w:type="fixed"/>
        <w:tblCellMar>
          <w:left w:w="144" w:type="dxa"/>
          <w:right w:w="0" w:type="dxa"/>
        </w:tblCellMar>
        <w:tblLook w:val="04A0" w:firstRow="1" w:lastRow="0" w:firstColumn="1" w:lastColumn="0" w:noHBand="0" w:noVBand="1"/>
        <w:tblDescription w:val="Header layout table"/>
      </w:tblPr>
      <w:tblGrid>
        <w:gridCol w:w="8020"/>
      </w:tblGrid>
      <w:tr w:rsidR="00B469A5" w:rsidRPr="00C1617B" w14:paraId="6172C267" w14:textId="77777777" w:rsidTr="00480C57">
        <w:trPr>
          <w:trHeight w:val="1395"/>
        </w:trPr>
        <w:tc>
          <w:tcPr>
            <w:tcW w:w="8020" w:type="dxa"/>
            <w:tcBorders>
              <w:bottom w:val="single" w:sz="8" w:space="0" w:color="CCCCCC" w:themeColor="background2"/>
            </w:tcBorders>
          </w:tcPr>
          <w:p w14:paraId="5A9D592C" w14:textId="1EDB38DE" w:rsidR="00B469A5" w:rsidRPr="00C1617B" w:rsidRDefault="008E4CCE">
            <w:pPr>
              <w:pStyle w:val="CompanyName"/>
              <w:rPr>
                <w:rFonts w:ascii="Times New Roman" w:hAnsi="Times New Roman" w:cs="Times New Roman"/>
                <w:color w:val="6BB29A"/>
                <w:sz w:val="22"/>
                <w:szCs w:val="22"/>
              </w:rPr>
            </w:pPr>
            <w:r>
              <w:rPr>
                <w:rFonts w:ascii="Times New Roman" w:hAnsi="Times New Roman" w:cs="Times New Roman"/>
                <w:noProof/>
                <w:color w:val="6BB29A"/>
                <w:sz w:val="40"/>
                <w:szCs w:val="40"/>
                <w:lang w:eastAsia="en-US"/>
              </w:rPr>
              <w:drawing>
                <wp:anchor distT="0" distB="0" distL="114300" distR="114300" simplePos="0" relativeHeight="251659264" behindDoc="0" locked="0" layoutInCell="1" allowOverlap="1" wp14:anchorId="1A678D23" wp14:editId="0E9A1EBC">
                  <wp:simplePos x="0" y="0"/>
                  <wp:positionH relativeFrom="column">
                    <wp:posOffset>-57647</wp:posOffset>
                  </wp:positionH>
                  <wp:positionV relativeFrom="paragraph">
                    <wp:posOffset>38017</wp:posOffset>
                  </wp:positionV>
                  <wp:extent cx="1806819" cy="707666"/>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8" cstate="print">
                            <a:extLst>
                              <a:ext uri="{28A0092B-C50C-407E-A947-70E740481C1C}">
                                <a14:useLocalDpi xmlns:a14="http://schemas.microsoft.com/office/drawing/2010/main" val="0"/>
                              </a:ext>
                            </a:extLst>
                          </a:blip>
                          <a:srcRect b="18766"/>
                          <a:stretch/>
                        </pic:blipFill>
                        <pic:spPr bwMode="auto">
                          <a:xfrm>
                            <a:off x="0" y="0"/>
                            <a:ext cx="1817891" cy="71200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B469A5" w:rsidRPr="00C1617B" w14:paraId="21EF07FF" w14:textId="77777777" w:rsidTr="00C22A27">
        <w:trPr>
          <w:trHeight w:hRule="exact" w:val="69"/>
        </w:trPr>
        <w:tc>
          <w:tcPr>
            <w:tcW w:w="8020" w:type="dxa"/>
            <w:tcBorders>
              <w:top w:val="single" w:sz="8" w:space="0" w:color="CCCCCC" w:themeColor="background2"/>
              <w:bottom w:val="nil"/>
            </w:tcBorders>
          </w:tcPr>
          <w:p w14:paraId="0A98C5F5" w14:textId="38C5336E" w:rsidR="00B469A5" w:rsidRPr="00C1617B" w:rsidRDefault="00B469A5">
            <w:pPr>
              <w:pStyle w:val="Header"/>
              <w:rPr>
                <w:rFonts w:ascii="Times New Roman" w:hAnsi="Times New Roman" w:cs="Times New Roman"/>
                <w:sz w:val="22"/>
                <w:szCs w:val="22"/>
              </w:rPr>
            </w:pPr>
          </w:p>
        </w:tc>
      </w:tr>
    </w:tbl>
    <w:p w14:paraId="6A1279C1" w14:textId="3518791B" w:rsidR="00B469A5" w:rsidRPr="00C1617B" w:rsidRDefault="00C47191">
      <w:pPr>
        <w:pStyle w:val="Date"/>
        <w:rPr>
          <w:rFonts w:ascii="Times New Roman" w:hAnsi="Times New Roman" w:cs="Times New Roman"/>
          <w:szCs w:val="22"/>
        </w:rPr>
      </w:pPr>
      <w:r w:rsidRPr="00C1617B">
        <w:rPr>
          <w:rFonts w:ascii="Times New Roman" w:hAnsi="Times New Roman" w:cs="Times New Roman"/>
          <w:szCs w:val="22"/>
        </w:rPr>
        <w:fldChar w:fldCharType="begin"/>
      </w:r>
      <w:r w:rsidRPr="00C1617B">
        <w:rPr>
          <w:rFonts w:ascii="Times New Roman" w:hAnsi="Times New Roman" w:cs="Times New Roman"/>
          <w:szCs w:val="22"/>
        </w:rPr>
        <w:instrText xml:space="preserve"> DATE \@ "MMMM d, yyyy" </w:instrText>
      </w:r>
      <w:r w:rsidRPr="00C1617B">
        <w:rPr>
          <w:rFonts w:ascii="Times New Roman" w:hAnsi="Times New Roman" w:cs="Times New Roman"/>
          <w:szCs w:val="22"/>
        </w:rPr>
        <w:fldChar w:fldCharType="separate"/>
      </w:r>
      <w:r w:rsidR="009327A8">
        <w:rPr>
          <w:rFonts w:ascii="Times New Roman" w:hAnsi="Times New Roman" w:cs="Times New Roman"/>
          <w:noProof/>
          <w:szCs w:val="22"/>
        </w:rPr>
        <w:t>February 26, 2021</w:t>
      </w:r>
      <w:r w:rsidRPr="00C1617B">
        <w:rPr>
          <w:rFonts w:ascii="Times New Roman" w:hAnsi="Times New Roman" w:cs="Times New Roman"/>
          <w:szCs w:val="22"/>
        </w:rPr>
        <w:fldChar w:fldCharType="end"/>
      </w:r>
    </w:p>
    <w:p w14:paraId="65798EDD" w14:textId="0771CD20" w:rsidR="00B469A5" w:rsidRPr="00C1617B" w:rsidRDefault="00C47191" w:rsidP="00C47191">
      <w:pPr>
        <w:pStyle w:val="ContactInfo"/>
        <w:rPr>
          <w:rFonts w:ascii="Times New Roman" w:hAnsi="Times New Roman" w:cs="Times New Roman"/>
          <w:szCs w:val="22"/>
        </w:rPr>
      </w:pPr>
      <w:r w:rsidRPr="00C1617B">
        <w:rPr>
          <w:rFonts w:ascii="Times New Roman" w:hAnsi="Times New Roman" w:cs="Times New Roman"/>
          <w:szCs w:val="22"/>
        </w:rPr>
        <w:t>Federal Housing Finance Agency,</w:t>
      </w:r>
    </w:p>
    <w:p w14:paraId="33D6FAE0" w14:textId="44C7D140" w:rsidR="00C47191" w:rsidRPr="00C1617B" w:rsidRDefault="00C47191" w:rsidP="00C47191">
      <w:pPr>
        <w:pStyle w:val="ContactInfo"/>
        <w:rPr>
          <w:rFonts w:ascii="Times New Roman" w:hAnsi="Times New Roman" w:cs="Times New Roman"/>
          <w:szCs w:val="22"/>
        </w:rPr>
      </w:pPr>
      <w:r w:rsidRPr="00C1617B">
        <w:rPr>
          <w:rFonts w:ascii="Times New Roman" w:hAnsi="Times New Roman" w:cs="Times New Roman"/>
          <w:szCs w:val="22"/>
        </w:rPr>
        <w:t>Office of Housing and Regulatory Policy,</w:t>
      </w:r>
    </w:p>
    <w:p w14:paraId="40B35267" w14:textId="4EDF095F" w:rsidR="00C47191" w:rsidRPr="00C1617B" w:rsidRDefault="00C47191" w:rsidP="00C47191">
      <w:pPr>
        <w:pStyle w:val="ContactInfo"/>
        <w:rPr>
          <w:rFonts w:ascii="Times New Roman" w:hAnsi="Times New Roman" w:cs="Times New Roman"/>
          <w:szCs w:val="22"/>
        </w:rPr>
      </w:pPr>
      <w:r w:rsidRPr="00C1617B">
        <w:rPr>
          <w:rFonts w:ascii="Times New Roman" w:hAnsi="Times New Roman" w:cs="Times New Roman"/>
          <w:szCs w:val="22"/>
        </w:rPr>
        <w:t>400 7</w:t>
      </w:r>
      <w:r w:rsidRPr="00C1617B">
        <w:rPr>
          <w:rFonts w:ascii="Times New Roman" w:hAnsi="Times New Roman" w:cs="Times New Roman"/>
          <w:szCs w:val="22"/>
          <w:vertAlign w:val="superscript"/>
        </w:rPr>
        <w:t>th</w:t>
      </w:r>
      <w:r w:rsidRPr="00C1617B">
        <w:rPr>
          <w:rFonts w:ascii="Times New Roman" w:hAnsi="Times New Roman" w:cs="Times New Roman"/>
          <w:szCs w:val="22"/>
        </w:rPr>
        <w:t xml:space="preserve"> Street SW, 9</w:t>
      </w:r>
      <w:r w:rsidRPr="00C1617B">
        <w:rPr>
          <w:rFonts w:ascii="Times New Roman" w:hAnsi="Times New Roman" w:cs="Times New Roman"/>
          <w:szCs w:val="22"/>
          <w:vertAlign w:val="superscript"/>
        </w:rPr>
        <w:t>th</w:t>
      </w:r>
      <w:r w:rsidRPr="00C1617B">
        <w:rPr>
          <w:rFonts w:ascii="Times New Roman" w:hAnsi="Times New Roman" w:cs="Times New Roman"/>
          <w:szCs w:val="22"/>
        </w:rPr>
        <w:t xml:space="preserve"> Floor,</w:t>
      </w:r>
    </w:p>
    <w:p w14:paraId="5D7765D7" w14:textId="0646B691" w:rsidR="00C47191" w:rsidRDefault="00C47191" w:rsidP="00C47191">
      <w:pPr>
        <w:pStyle w:val="ContactInfo"/>
        <w:rPr>
          <w:rFonts w:ascii="Times New Roman" w:hAnsi="Times New Roman" w:cs="Times New Roman"/>
          <w:szCs w:val="22"/>
        </w:rPr>
      </w:pPr>
      <w:r w:rsidRPr="00C1617B">
        <w:rPr>
          <w:rFonts w:ascii="Times New Roman" w:hAnsi="Times New Roman" w:cs="Times New Roman"/>
          <w:szCs w:val="22"/>
        </w:rPr>
        <w:t>Washington D.C., 20219</w:t>
      </w:r>
    </w:p>
    <w:p w14:paraId="61D682C9" w14:textId="5D69587B" w:rsidR="007E39F6" w:rsidRDefault="007E39F6" w:rsidP="00C47191">
      <w:pPr>
        <w:pStyle w:val="ContactInfo"/>
        <w:rPr>
          <w:rFonts w:ascii="Times New Roman" w:hAnsi="Times New Roman" w:cs="Times New Roman"/>
          <w:szCs w:val="22"/>
        </w:rPr>
      </w:pPr>
      <w:r w:rsidRPr="007E39F6">
        <w:rPr>
          <w:rFonts w:ascii="Times New Roman" w:hAnsi="Times New Roman" w:cs="Times New Roman"/>
          <w:szCs w:val="22"/>
        </w:rPr>
        <w:t xml:space="preserve">(Transmitted via email to </w:t>
      </w:r>
      <w:hyperlink r:id="rId9" w:history="1">
        <w:r w:rsidRPr="003148EE">
          <w:rPr>
            <w:rStyle w:val="Hyperlink"/>
            <w:rFonts w:ascii="Times New Roman" w:hAnsi="Times New Roman" w:cs="Times New Roman"/>
            <w:szCs w:val="22"/>
          </w:rPr>
          <w:t>AppraisalRFI@fhfa.gov</w:t>
        </w:r>
      </w:hyperlink>
      <w:r w:rsidRPr="007E39F6">
        <w:rPr>
          <w:rFonts w:ascii="Times New Roman" w:hAnsi="Times New Roman" w:cs="Times New Roman"/>
          <w:szCs w:val="22"/>
        </w:rPr>
        <w:t>)</w:t>
      </w:r>
    </w:p>
    <w:p w14:paraId="00AF5C39" w14:textId="2D74502F" w:rsidR="007E39F6" w:rsidRDefault="007E39F6" w:rsidP="00C47191">
      <w:pPr>
        <w:pStyle w:val="ContactInfo"/>
        <w:rPr>
          <w:rFonts w:ascii="Times New Roman" w:hAnsi="Times New Roman" w:cs="Times New Roman"/>
          <w:szCs w:val="22"/>
        </w:rPr>
      </w:pPr>
    </w:p>
    <w:p w14:paraId="6234EB52" w14:textId="3C07C4DA" w:rsidR="007E39F6" w:rsidRDefault="007E39F6" w:rsidP="00C47191">
      <w:pPr>
        <w:pStyle w:val="ContactInfo"/>
        <w:rPr>
          <w:rFonts w:ascii="Times New Roman" w:hAnsi="Times New Roman" w:cs="Times New Roman"/>
          <w:szCs w:val="22"/>
        </w:rPr>
      </w:pPr>
      <w:r w:rsidRPr="007E39F6">
        <w:rPr>
          <w:rFonts w:ascii="Times New Roman" w:hAnsi="Times New Roman" w:cs="Times New Roman"/>
          <w:szCs w:val="22"/>
        </w:rPr>
        <w:t>RE: FHFA Request for Information on Appraisal-related Policies, Practices, and Processes.</w:t>
      </w:r>
    </w:p>
    <w:p w14:paraId="1117C3FA" w14:textId="57C60D0F" w:rsidR="007E39F6" w:rsidRDefault="007E39F6" w:rsidP="00C47191">
      <w:pPr>
        <w:pStyle w:val="ContactInfo"/>
        <w:rPr>
          <w:rFonts w:ascii="Times New Roman" w:hAnsi="Times New Roman" w:cs="Times New Roman"/>
          <w:szCs w:val="22"/>
        </w:rPr>
      </w:pPr>
    </w:p>
    <w:p w14:paraId="63EFDDFA" w14:textId="19F61449" w:rsidR="007E39F6" w:rsidRPr="00C1617B" w:rsidRDefault="007E39F6" w:rsidP="00C47191">
      <w:pPr>
        <w:pStyle w:val="ContactInfo"/>
        <w:rPr>
          <w:rFonts w:ascii="Times New Roman" w:hAnsi="Times New Roman" w:cs="Times New Roman"/>
          <w:szCs w:val="22"/>
        </w:rPr>
      </w:pPr>
      <w:r w:rsidRPr="007E39F6">
        <w:rPr>
          <w:rFonts w:ascii="Times New Roman" w:hAnsi="Times New Roman" w:cs="Times New Roman"/>
          <w:szCs w:val="22"/>
        </w:rPr>
        <w:t>Attachments:</w:t>
      </w:r>
      <w:r>
        <w:rPr>
          <w:rFonts w:ascii="Times New Roman" w:hAnsi="Times New Roman" w:cs="Times New Roman"/>
          <w:szCs w:val="22"/>
        </w:rPr>
        <w:t xml:space="preserve"> </w:t>
      </w:r>
      <w:r w:rsidR="007D65A3">
        <w:rPr>
          <w:rFonts w:ascii="Times New Roman" w:hAnsi="Times New Roman" w:cs="Times New Roman"/>
          <w:szCs w:val="22"/>
        </w:rPr>
        <w:t>MPT Examples and FSD Analysis Example</w:t>
      </w:r>
    </w:p>
    <w:p w14:paraId="036A99BE" w14:textId="5B593F26" w:rsidR="00B469A5" w:rsidRPr="00C1617B" w:rsidRDefault="00694CB6">
      <w:pPr>
        <w:pStyle w:val="Salutation"/>
        <w:rPr>
          <w:rFonts w:ascii="Times New Roman" w:hAnsi="Times New Roman" w:cs="Times New Roman"/>
          <w:sz w:val="22"/>
          <w:szCs w:val="22"/>
        </w:rPr>
      </w:pPr>
      <w:r w:rsidRPr="00C1617B">
        <w:rPr>
          <w:rFonts w:ascii="Times New Roman" w:hAnsi="Times New Roman" w:cs="Times New Roman"/>
          <w:sz w:val="22"/>
          <w:szCs w:val="22"/>
        </w:rPr>
        <w:t xml:space="preserve">Dear </w:t>
      </w:r>
      <w:r w:rsidR="00C47191" w:rsidRPr="00C1617B">
        <w:rPr>
          <w:rFonts w:ascii="Times New Roman" w:hAnsi="Times New Roman" w:cs="Times New Roman"/>
          <w:sz w:val="22"/>
          <w:szCs w:val="22"/>
        </w:rPr>
        <w:t>FHFA Colleagues</w:t>
      </w:r>
      <w:r w:rsidRPr="00C1617B">
        <w:rPr>
          <w:rFonts w:ascii="Times New Roman" w:hAnsi="Times New Roman" w:cs="Times New Roman"/>
          <w:sz w:val="22"/>
          <w:szCs w:val="22"/>
        </w:rPr>
        <w:t>:</w:t>
      </w:r>
    </w:p>
    <w:p w14:paraId="29A72C30" w14:textId="156F3151" w:rsidR="00BB6EFE" w:rsidRDefault="007E39F6" w:rsidP="00C47191">
      <w:pPr>
        <w:rPr>
          <w:rFonts w:ascii="Times New Roman" w:hAnsi="Times New Roman" w:cs="Times New Roman"/>
          <w:sz w:val="22"/>
          <w:szCs w:val="22"/>
        </w:rPr>
      </w:pPr>
      <w:r w:rsidRPr="00C1617B">
        <w:rPr>
          <w:rFonts w:ascii="Times New Roman" w:hAnsi="Times New Roman" w:cs="Times New Roman"/>
          <w:sz w:val="22"/>
          <w:szCs w:val="22"/>
        </w:rPr>
        <w:t>AVMetrics is pleased to see the FHFA’s deep interest in appraisal-related policies, particularly where they involve Automated Valuation Models and Appraisal Waivers.</w:t>
      </w:r>
      <w:r>
        <w:rPr>
          <w:rFonts w:ascii="Times New Roman" w:hAnsi="Times New Roman" w:cs="Times New Roman"/>
          <w:sz w:val="22"/>
          <w:szCs w:val="22"/>
        </w:rPr>
        <w:t xml:space="preserve"> </w:t>
      </w:r>
      <w:r w:rsidR="00C47191" w:rsidRPr="00C1617B">
        <w:rPr>
          <w:rFonts w:ascii="Times New Roman" w:hAnsi="Times New Roman" w:cs="Times New Roman"/>
          <w:sz w:val="22"/>
          <w:szCs w:val="22"/>
        </w:rPr>
        <w:t xml:space="preserve">AVMetrics’ primary focus is the </w:t>
      </w:r>
      <w:r w:rsidR="002C4281">
        <w:rPr>
          <w:rFonts w:ascii="Times New Roman" w:hAnsi="Times New Roman" w:cs="Times New Roman"/>
          <w:sz w:val="22"/>
          <w:szCs w:val="22"/>
        </w:rPr>
        <w:t xml:space="preserve">independent </w:t>
      </w:r>
      <w:r w:rsidR="00C47191" w:rsidRPr="00C1617B">
        <w:rPr>
          <w:rFonts w:ascii="Times New Roman" w:hAnsi="Times New Roman" w:cs="Times New Roman"/>
          <w:sz w:val="22"/>
          <w:szCs w:val="22"/>
        </w:rPr>
        <w:t>testing and measurement of AVMs for us</w:t>
      </w:r>
      <w:r w:rsidR="00480C57">
        <w:rPr>
          <w:rFonts w:ascii="Times New Roman" w:hAnsi="Times New Roman" w:cs="Times New Roman"/>
          <w:sz w:val="22"/>
          <w:szCs w:val="22"/>
        </w:rPr>
        <w:t>e</w:t>
      </w:r>
      <w:r w:rsidR="00C47191" w:rsidRPr="00C1617B">
        <w:rPr>
          <w:rFonts w:ascii="Times New Roman" w:hAnsi="Times New Roman" w:cs="Times New Roman"/>
          <w:sz w:val="22"/>
          <w:szCs w:val="22"/>
        </w:rPr>
        <w:t xml:space="preserve"> in residential housing</w:t>
      </w:r>
      <w:r w:rsidR="00BB6EFE">
        <w:rPr>
          <w:rFonts w:ascii="Times New Roman" w:hAnsi="Times New Roman" w:cs="Times New Roman"/>
          <w:sz w:val="22"/>
          <w:szCs w:val="22"/>
        </w:rPr>
        <w:t>. O</w:t>
      </w:r>
      <w:r w:rsidR="00C47191" w:rsidRPr="00C1617B">
        <w:rPr>
          <w:rFonts w:ascii="Times New Roman" w:hAnsi="Times New Roman" w:cs="Times New Roman"/>
          <w:sz w:val="22"/>
          <w:szCs w:val="22"/>
        </w:rPr>
        <w:t xml:space="preserve">ur sincere hope is that AVMs can be employed thoughtfully, carefully and judiciously in order that they can effectively support a safe, sound and stabile housing sector. </w:t>
      </w:r>
    </w:p>
    <w:p w14:paraId="49DF91A7" w14:textId="2078E3CE" w:rsidR="00B469A5" w:rsidRPr="00C1617B" w:rsidRDefault="00BB6EFE" w:rsidP="00C47191">
      <w:pPr>
        <w:rPr>
          <w:rFonts w:ascii="Times New Roman" w:hAnsi="Times New Roman" w:cs="Times New Roman"/>
          <w:sz w:val="22"/>
          <w:szCs w:val="22"/>
        </w:rPr>
      </w:pPr>
      <w:r>
        <w:rPr>
          <w:rFonts w:ascii="Times New Roman" w:hAnsi="Times New Roman" w:cs="Times New Roman"/>
          <w:sz w:val="22"/>
          <w:szCs w:val="22"/>
        </w:rPr>
        <w:t>AVMetrics</w:t>
      </w:r>
      <w:r w:rsidRPr="007E39F6">
        <w:rPr>
          <w:rFonts w:ascii="Times New Roman" w:hAnsi="Times New Roman" w:cs="Times New Roman"/>
          <w:sz w:val="22"/>
          <w:szCs w:val="22"/>
        </w:rPr>
        <w:t xml:space="preserve"> was founded in 200</w:t>
      </w:r>
      <w:r>
        <w:rPr>
          <w:rFonts w:ascii="Times New Roman" w:hAnsi="Times New Roman" w:cs="Times New Roman"/>
          <w:sz w:val="22"/>
          <w:szCs w:val="22"/>
        </w:rPr>
        <w:t>5</w:t>
      </w:r>
      <w:r w:rsidRPr="007E39F6">
        <w:rPr>
          <w:rFonts w:ascii="Times New Roman" w:hAnsi="Times New Roman" w:cs="Times New Roman"/>
          <w:sz w:val="22"/>
          <w:szCs w:val="22"/>
        </w:rPr>
        <w:t xml:space="preserve"> by </w:t>
      </w:r>
      <w:r>
        <w:rPr>
          <w:rFonts w:ascii="Times New Roman" w:hAnsi="Times New Roman" w:cs="Times New Roman"/>
          <w:sz w:val="22"/>
          <w:szCs w:val="22"/>
        </w:rPr>
        <w:t>Lee Kennedy</w:t>
      </w:r>
      <w:r w:rsidRPr="007E39F6">
        <w:rPr>
          <w:rFonts w:ascii="Times New Roman" w:hAnsi="Times New Roman" w:cs="Times New Roman"/>
          <w:sz w:val="22"/>
          <w:szCs w:val="22"/>
        </w:rPr>
        <w:t xml:space="preserve"> </w:t>
      </w:r>
      <w:r>
        <w:rPr>
          <w:rFonts w:ascii="Times New Roman" w:hAnsi="Times New Roman" w:cs="Times New Roman"/>
          <w:sz w:val="22"/>
          <w:szCs w:val="22"/>
        </w:rPr>
        <w:t xml:space="preserve">after twenty years of appraisal analytics and risk management background. The company’s primary </w:t>
      </w:r>
      <w:r w:rsidRPr="007E39F6">
        <w:rPr>
          <w:rFonts w:ascii="Times New Roman" w:hAnsi="Times New Roman" w:cs="Times New Roman"/>
          <w:sz w:val="22"/>
          <w:szCs w:val="22"/>
        </w:rPr>
        <w:t xml:space="preserve">mission </w:t>
      </w:r>
      <w:r>
        <w:rPr>
          <w:rFonts w:ascii="Times New Roman" w:hAnsi="Times New Roman" w:cs="Times New Roman"/>
          <w:sz w:val="22"/>
          <w:szCs w:val="22"/>
        </w:rPr>
        <w:t xml:space="preserve">is </w:t>
      </w:r>
      <w:r w:rsidRPr="007E39F6">
        <w:rPr>
          <w:rFonts w:ascii="Times New Roman" w:hAnsi="Times New Roman" w:cs="Times New Roman"/>
          <w:sz w:val="22"/>
          <w:szCs w:val="22"/>
        </w:rPr>
        <w:t xml:space="preserve">to improve the </w:t>
      </w:r>
      <w:r>
        <w:rPr>
          <w:rFonts w:ascii="Times New Roman" w:hAnsi="Times New Roman" w:cs="Times New Roman"/>
          <w:sz w:val="22"/>
          <w:szCs w:val="22"/>
        </w:rPr>
        <w:t xml:space="preserve">safe and sound use </w:t>
      </w:r>
      <w:r w:rsidRPr="007E39F6">
        <w:rPr>
          <w:rFonts w:ascii="Times New Roman" w:hAnsi="Times New Roman" w:cs="Times New Roman"/>
          <w:sz w:val="22"/>
          <w:szCs w:val="22"/>
        </w:rPr>
        <w:t xml:space="preserve">of </w:t>
      </w:r>
      <w:r>
        <w:rPr>
          <w:rFonts w:ascii="Times New Roman" w:hAnsi="Times New Roman" w:cs="Times New Roman"/>
          <w:sz w:val="22"/>
          <w:szCs w:val="22"/>
        </w:rPr>
        <w:t>Automated Valuation Models and other Alternative Valuation Products within</w:t>
      </w:r>
      <w:r w:rsidRPr="007E39F6">
        <w:rPr>
          <w:rFonts w:ascii="Times New Roman" w:hAnsi="Times New Roman" w:cs="Times New Roman"/>
          <w:sz w:val="22"/>
          <w:szCs w:val="22"/>
        </w:rPr>
        <w:t xml:space="preserve"> the housing finance industry.</w:t>
      </w:r>
      <w:r>
        <w:rPr>
          <w:rFonts w:ascii="Times New Roman" w:hAnsi="Times New Roman" w:cs="Times New Roman"/>
          <w:sz w:val="22"/>
          <w:szCs w:val="22"/>
        </w:rPr>
        <w:t xml:space="preserve"> </w:t>
      </w:r>
      <w:r w:rsidR="00AE47D3">
        <w:rPr>
          <w:rFonts w:ascii="Times New Roman" w:hAnsi="Times New Roman" w:cs="Times New Roman"/>
          <w:sz w:val="22"/>
          <w:szCs w:val="22"/>
        </w:rPr>
        <w:t>Lee Kennedy continues to be an active member of the Collateral Risk Network (CRN), The Appraisal Foundation’s Industry Advisory Council (IAC) and subcommittee member for AVM Quality Control Standards among other valuation industry activities.</w:t>
      </w:r>
    </w:p>
    <w:p w14:paraId="119872FA" w14:textId="2065B08F" w:rsidR="00F569EF" w:rsidRDefault="006C12C2" w:rsidP="00F569EF">
      <w:pPr>
        <w:rPr>
          <w:rFonts w:ascii="Times New Roman" w:hAnsi="Times New Roman" w:cs="Times New Roman"/>
          <w:sz w:val="22"/>
          <w:szCs w:val="22"/>
        </w:rPr>
      </w:pPr>
      <w:r w:rsidRPr="00C1617B">
        <w:rPr>
          <w:rFonts w:ascii="Times New Roman" w:hAnsi="Times New Roman" w:cs="Times New Roman"/>
          <w:sz w:val="22"/>
          <w:szCs w:val="22"/>
        </w:rPr>
        <w:t xml:space="preserve">The following pages include </w:t>
      </w:r>
      <w:r w:rsidR="00BB6EFE">
        <w:rPr>
          <w:rFonts w:ascii="Times New Roman" w:hAnsi="Times New Roman" w:cs="Times New Roman"/>
          <w:sz w:val="22"/>
          <w:szCs w:val="22"/>
        </w:rPr>
        <w:t xml:space="preserve">an executive summary and </w:t>
      </w:r>
      <w:r w:rsidRPr="00C1617B">
        <w:rPr>
          <w:rFonts w:ascii="Times New Roman" w:hAnsi="Times New Roman" w:cs="Times New Roman"/>
          <w:sz w:val="22"/>
          <w:szCs w:val="22"/>
        </w:rPr>
        <w:t xml:space="preserve">AVMetrics’ </w:t>
      </w:r>
      <w:r w:rsidR="00BB6EFE">
        <w:rPr>
          <w:rFonts w:ascii="Times New Roman" w:hAnsi="Times New Roman" w:cs="Times New Roman"/>
          <w:sz w:val="22"/>
          <w:szCs w:val="22"/>
        </w:rPr>
        <w:t xml:space="preserve">responses </w:t>
      </w:r>
      <w:r w:rsidRPr="00C1617B">
        <w:rPr>
          <w:rFonts w:ascii="Times New Roman" w:hAnsi="Times New Roman" w:cs="Times New Roman"/>
          <w:sz w:val="22"/>
          <w:szCs w:val="22"/>
        </w:rPr>
        <w:t xml:space="preserve">to </w:t>
      </w:r>
      <w:r w:rsidR="00390E53">
        <w:rPr>
          <w:rFonts w:ascii="Times New Roman" w:hAnsi="Times New Roman" w:cs="Times New Roman"/>
          <w:sz w:val="22"/>
          <w:szCs w:val="22"/>
        </w:rPr>
        <w:t>selected</w:t>
      </w:r>
      <w:r w:rsidRPr="00C1617B">
        <w:rPr>
          <w:rFonts w:ascii="Times New Roman" w:hAnsi="Times New Roman" w:cs="Times New Roman"/>
          <w:sz w:val="22"/>
          <w:szCs w:val="22"/>
        </w:rPr>
        <w:t xml:space="preserve"> questions </w:t>
      </w:r>
      <w:r w:rsidR="00BB6EFE">
        <w:rPr>
          <w:rFonts w:ascii="Times New Roman" w:hAnsi="Times New Roman" w:cs="Times New Roman"/>
          <w:sz w:val="22"/>
          <w:szCs w:val="22"/>
        </w:rPr>
        <w:t xml:space="preserve">from </w:t>
      </w:r>
      <w:r w:rsidR="00BB6EFE" w:rsidRPr="00C1617B">
        <w:rPr>
          <w:rFonts w:ascii="Times New Roman" w:hAnsi="Times New Roman" w:cs="Times New Roman"/>
          <w:sz w:val="22"/>
          <w:szCs w:val="22"/>
        </w:rPr>
        <w:t>FHFA’s December 28, 2020 Request for Information</w:t>
      </w:r>
      <w:r w:rsidR="00BB6EFE">
        <w:rPr>
          <w:rFonts w:ascii="Times New Roman" w:hAnsi="Times New Roman" w:cs="Times New Roman"/>
          <w:sz w:val="22"/>
          <w:szCs w:val="22"/>
        </w:rPr>
        <w:t xml:space="preserve"> on which </w:t>
      </w:r>
      <w:r w:rsidR="00F569EF">
        <w:rPr>
          <w:rFonts w:ascii="Times New Roman" w:hAnsi="Times New Roman" w:cs="Times New Roman"/>
          <w:sz w:val="22"/>
          <w:szCs w:val="22"/>
        </w:rPr>
        <w:t>we have subject matter expertise</w:t>
      </w:r>
      <w:r w:rsidRPr="00C1617B">
        <w:rPr>
          <w:rFonts w:ascii="Times New Roman" w:hAnsi="Times New Roman" w:cs="Times New Roman"/>
          <w:sz w:val="22"/>
          <w:szCs w:val="22"/>
        </w:rPr>
        <w:t>.</w:t>
      </w:r>
    </w:p>
    <w:p w14:paraId="2DCFD82A" w14:textId="137F3171" w:rsidR="00480C57" w:rsidRPr="00C1617B" w:rsidRDefault="00480C57" w:rsidP="00F569EF">
      <w:pPr>
        <w:rPr>
          <w:rFonts w:ascii="Times New Roman" w:hAnsi="Times New Roman" w:cs="Times New Roman"/>
          <w:sz w:val="22"/>
          <w:szCs w:val="22"/>
        </w:rPr>
      </w:pPr>
      <w:r w:rsidRPr="00C1617B">
        <w:rPr>
          <w:rFonts w:ascii="Times New Roman" w:hAnsi="Times New Roman" w:cs="Times New Roman"/>
          <w:sz w:val="22"/>
          <w:szCs w:val="22"/>
        </w:rPr>
        <w:t>Sincerely,</w:t>
      </w:r>
    </w:p>
    <w:p w14:paraId="19A49C0D" w14:textId="276DF99D" w:rsidR="00480C57" w:rsidRDefault="00480C57" w:rsidP="001A41F4">
      <w:pPr>
        <w:pStyle w:val="Signature"/>
        <w:spacing w:before="480" w:after="120"/>
        <w:rPr>
          <w:rFonts w:ascii="Times New Roman" w:hAnsi="Times New Roman" w:cs="Times New Roman"/>
          <w:sz w:val="22"/>
          <w:szCs w:val="22"/>
        </w:rPr>
      </w:pPr>
      <w:r>
        <w:rPr>
          <w:rFonts w:ascii="Times New Roman" w:hAnsi="Times New Roman" w:cs="Times New Roman"/>
          <w:sz w:val="22"/>
          <w:szCs w:val="22"/>
        </w:rPr>
        <w:t>Lee Kennedy</w:t>
      </w:r>
      <w:r w:rsidR="00F569EF">
        <w:rPr>
          <w:rFonts w:ascii="Times New Roman" w:hAnsi="Times New Roman" w:cs="Times New Roman"/>
          <w:sz w:val="22"/>
          <w:szCs w:val="22"/>
        </w:rPr>
        <w:t>,</w:t>
      </w:r>
    </w:p>
    <w:p w14:paraId="41F60D89" w14:textId="77777777" w:rsidR="00BB6EFE" w:rsidRDefault="00F569EF">
      <w:pPr>
        <w:rPr>
          <w:rFonts w:ascii="Times New Roman" w:hAnsi="Times New Roman" w:cs="Times New Roman"/>
          <w:sz w:val="22"/>
          <w:szCs w:val="22"/>
          <w:lang w:eastAsia="en-US"/>
        </w:rPr>
      </w:pPr>
      <w:r w:rsidRPr="00F569EF">
        <w:rPr>
          <w:rFonts w:ascii="Times New Roman" w:hAnsi="Times New Roman" w:cs="Times New Roman"/>
          <w:sz w:val="22"/>
          <w:szCs w:val="22"/>
          <w:lang w:eastAsia="en-US"/>
        </w:rPr>
        <w:t>CEO/Managing Director</w:t>
      </w:r>
    </w:p>
    <w:p w14:paraId="777FBDC5" w14:textId="77777777" w:rsidR="00BB6EFE" w:rsidRDefault="00BB6EFE">
      <w:pPr>
        <w:rPr>
          <w:rFonts w:ascii="Times New Roman" w:hAnsi="Times New Roman" w:cs="Times New Roman"/>
          <w:sz w:val="22"/>
          <w:szCs w:val="22"/>
          <w:lang w:eastAsia="en-US"/>
        </w:rPr>
      </w:pPr>
    </w:p>
    <w:p w14:paraId="4A448459" w14:textId="77777777" w:rsidR="00BB6EFE" w:rsidRDefault="00BB6EFE">
      <w:pPr>
        <w:rPr>
          <w:rFonts w:ascii="Times New Roman" w:hAnsi="Times New Roman" w:cs="Times New Roman"/>
          <w:b/>
          <w:bCs/>
          <w:sz w:val="22"/>
          <w:szCs w:val="22"/>
          <w:u w:val="single"/>
          <w:lang w:eastAsia="en-US"/>
        </w:rPr>
      </w:pPr>
      <w:r w:rsidRPr="001A41F4">
        <w:rPr>
          <w:rFonts w:ascii="Times New Roman" w:hAnsi="Times New Roman" w:cs="Times New Roman"/>
          <w:b/>
          <w:bCs/>
          <w:sz w:val="22"/>
          <w:szCs w:val="22"/>
          <w:u w:val="single"/>
          <w:lang w:eastAsia="en-US"/>
        </w:rPr>
        <w:t>Executive Summary</w:t>
      </w:r>
    </w:p>
    <w:p w14:paraId="7AB717A5" w14:textId="7A5E3BE4" w:rsidR="0099687D" w:rsidRPr="001A41F4" w:rsidRDefault="0099687D" w:rsidP="0099687D">
      <w:pPr>
        <w:rPr>
          <w:rFonts w:ascii="Times New Roman" w:hAnsi="Times New Roman" w:cs="Times New Roman"/>
          <w:sz w:val="22"/>
          <w:szCs w:val="22"/>
        </w:rPr>
      </w:pPr>
      <w:r w:rsidRPr="001A41F4">
        <w:rPr>
          <w:rFonts w:ascii="Times New Roman" w:hAnsi="Times New Roman" w:cs="Times New Roman"/>
          <w:sz w:val="22"/>
          <w:szCs w:val="22"/>
        </w:rPr>
        <w:t>The lynchpin to many of the appraisal alternatives is an Automated Valuation Model</w:t>
      </w:r>
      <w:r>
        <w:rPr>
          <w:rFonts w:ascii="Times New Roman" w:hAnsi="Times New Roman" w:cs="Times New Roman"/>
          <w:sz w:val="22"/>
          <w:szCs w:val="22"/>
        </w:rPr>
        <w:t xml:space="preserve"> – a </w:t>
      </w:r>
      <w:r w:rsidRPr="001A41F4">
        <w:rPr>
          <w:rFonts w:ascii="Times New Roman" w:hAnsi="Times New Roman" w:cs="Times New Roman"/>
          <w:sz w:val="22"/>
          <w:szCs w:val="22"/>
        </w:rPr>
        <w:t xml:space="preserve">subject which AVMetrics has studied </w:t>
      </w:r>
      <w:r>
        <w:rPr>
          <w:rFonts w:ascii="Times New Roman" w:hAnsi="Times New Roman" w:cs="Times New Roman"/>
          <w:sz w:val="22"/>
          <w:szCs w:val="22"/>
        </w:rPr>
        <w:t>assiduously</w:t>
      </w:r>
      <w:r w:rsidRPr="001A41F4">
        <w:rPr>
          <w:rFonts w:ascii="Times New Roman" w:hAnsi="Times New Roman" w:cs="Times New Roman"/>
          <w:sz w:val="22"/>
          <w:szCs w:val="22"/>
        </w:rPr>
        <w:t xml:space="preserve"> for more than 15 years. We point out that even an excellent AVM can be improved by the use of a Model Preference Table</w:t>
      </w:r>
      <w:r>
        <w:rPr>
          <w:rFonts w:ascii="Times New Roman" w:hAnsi="Times New Roman" w:cs="Times New Roman"/>
          <w:sz w:val="22"/>
          <w:szCs w:val="22"/>
        </w:rPr>
        <w:t>®</w:t>
      </w:r>
      <w:r w:rsidRPr="001A41F4">
        <w:rPr>
          <w:rFonts w:ascii="Times New Roman" w:hAnsi="Times New Roman" w:cs="Times New Roman"/>
          <w:sz w:val="22"/>
          <w:szCs w:val="22"/>
        </w:rPr>
        <w:t xml:space="preserve">. MPTs enable better accuracy, fewer "no hits" and fewer overvaluations. </w:t>
      </w:r>
    </w:p>
    <w:p w14:paraId="404CFC1F" w14:textId="309F087E" w:rsidR="0099687D" w:rsidRPr="001A41F4" w:rsidRDefault="0099687D" w:rsidP="0099687D">
      <w:pPr>
        <w:rPr>
          <w:rFonts w:ascii="Times New Roman" w:hAnsi="Times New Roman" w:cs="Times New Roman"/>
          <w:sz w:val="22"/>
          <w:szCs w:val="22"/>
        </w:rPr>
      </w:pPr>
      <w:r w:rsidRPr="001A41F4">
        <w:rPr>
          <w:rFonts w:ascii="Times New Roman" w:hAnsi="Times New Roman" w:cs="Times New Roman"/>
          <w:sz w:val="22"/>
          <w:szCs w:val="22"/>
        </w:rPr>
        <w:t>We also suggest an escalated focus on AVM testing, and we use our own research and citations of OCC Interagency Guidelines to emphasize the importance of testing to effectively use AVMs. We suggest that an "FSD Analysis" like the one we describe reduces risk by avoiding higher risk circumstances for using an AVM.</w:t>
      </w:r>
    </w:p>
    <w:p w14:paraId="5C9BFA75" w14:textId="55A18603" w:rsidR="0099687D" w:rsidRPr="001A41F4" w:rsidRDefault="0099687D" w:rsidP="0099687D">
      <w:pPr>
        <w:rPr>
          <w:rFonts w:ascii="Times New Roman" w:hAnsi="Times New Roman" w:cs="Times New Roman"/>
          <w:sz w:val="22"/>
          <w:szCs w:val="22"/>
        </w:rPr>
      </w:pPr>
      <w:r w:rsidRPr="001A41F4">
        <w:rPr>
          <w:rFonts w:ascii="Times New Roman" w:hAnsi="Times New Roman" w:cs="Times New Roman"/>
          <w:sz w:val="22"/>
          <w:szCs w:val="22"/>
        </w:rPr>
        <w:t>We suggest that the implementation of a universal MPT by the Enterprises will improve the collateral tools available and reduce the risk of manipulation by lenders. We also believe that a universal MPT can help redeploy appraisers to their highest and best use: the qualitative aspects of appraisal work. Our suggestion is that the GSEs endeavor to make the increased use of AVMs a benefit to appraisers, increasing their value-added and bringing them along in the transition.</w:t>
      </w:r>
    </w:p>
    <w:p w14:paraId="1105D36D" w14:textId="622BED89" w:rsidR="00C1617B" w:rsidRPr="001A41F4" w:rsidRDefault="00C1617B">
      <w:pPr>
        <w:rPr>
          <w:rFonts w:ascii="Times New Roman" w:hAnsi="Times New Roman" w:cs="Times New Roman"/>
          <w:b/>
          <w:bCs/>
          <w:sz w:val="22"/>
          <w:szCs w:val="22"/>
          <w:u w:val="single"/>
        </w:rPr>
      </w:pPr>
      <w:r w:rsidRPr="001A41F4">
        <w:rPr>
          <w:rFonts w:ascii="Times New Roman" w:hAnsi="Times New Roman" w:cs="Times New Roman"/>
          <w:b/>
          <w:bCs/>
          <w:sz w:val="22"/>
          <w:szCs w:val="22"/>
          <w:u w:val="single"/>
        </w:rPr>
        <w:br w:type="page"/>
      </w:r>
    </w:p>
    <w:tbl>
      <w:tblPr>
        <w:tblStyle w:val="TableGrid"/>
        <w:tblW w:w="0" w:type="auto"/>
        <w:tblLook w:val="04A0" w:firstRow="1" w:lastRow="0" w:firstColumn="1" w:lastColumn="0" w:noHBand="0" w:noVBand="1"/>
      </w:tblPr>
      <w:tblGrid>
        <w:gridCol w:w="1705"/>
        <w:gridCol w:w="6061"/>
      </w:tblGrid>
      <w:tr w:rsidR="00C1617B" w:rsidRPr="00C1617B" w14:paraId="1CEF2B8F" w14:textId="77777777" w:rsidTr="00C1617B">
        <w:tc>
          <w:tcPr>
            <w:tcW w:w="1705" w:type="dxa"/>
            <w:shd w:val="clear" w:color="auto" w:fill="1A497B"/>
          </w:tcPr>
          <w:p w14:paraId="341E6A51" w14:textId="6FC18E8F" w:rsidR="00C1617B" w:rsidRPr="00C1617B" w:rsidRDefault="00C1617B" w:rsidP="00C47191">
            <w:pPr>
              <w:rPr>
                <w:rFonts w:ascii="Times New Roman" w:hAnsi="Times New Roman" w:cs="Times New Roman"/>
                <w:color w:val="FFFFFF" w:themeColor="background1"/>
                <w:sz w:val="22"/>
                <w:szCs w:val="22"/>
              </w:rPr>
            </w:pPr>
            <w:r w:rsidRPr="00C1617B">
              <w:rPr>
                <w:rFonts w:ascii="Times New Roman" w:hAnsi="Times New Roman" w:cs="Times New Roman"/>
                <w:color w:val="FFFFFF" w:themeColor="background1"/>
                <w:sz w:val="22"/>
                <w:szCs w:val="22"/>
              </w:rPr>
              <w:lastRenderedPageBreak/>
              <w:t>Question A1.1:</w:t>
            </w:r>
          </w:p>
        </w:tc>
        <w:tc>
          <w:tcPr>
            <w:tcW w:w="6061" w:type="dxa"/>
          </w:tcPr>
          <w:p w14:paraId="0DE1726B" w14:textId="190B4F00" w:rsidR="00C1617B" w:rsidRPr="00C1617B" w:rsidRDefault="00C1617B" w:rsidP="00411001">
            <w:pPr>
              <w:autoSpaceDE w:val="0"/>
              <w:autoSpaceDN w:val="0"/>
              <w:adjustRightInd w:val="0"/>
              <w:rPr>
                <w:rFonts w:ascii="Times New Roman" w:hAnsi="Times New Roman" w:cs="Times New Roman"/>
                <w:sz w:val="22"/>
                <w:szCs w:val="22"/>
              </w:rPr>
            </w:pPr>
            <w:r w:rsidRPr="00C1617B">
              <w:rPr>
                <w:rFonts w:ascii="Times New Roman" w:hAnsi="Times New Roman" w:cs="Times New Roman"/>
                <w:color w:val="000000"/>
                <w:sz w:val="22"/>
                <w:szCs w:val="22"/>
              </w:rPr>
              <w:t>Is there a need to provide new valuation solutions that address industry identified issues of appraiser capacity, turn-times, training, and rural and high-volume market coverage? What are those potential solutions? What are the risks of these policies and the challenges in implementing them?</w:t>
            </w:r>
          </w:p>
        </w:tc>
      </w:tr>
    </w:tbl>
    <w:p w14:paraId="373CA9B0" w14:textId="77777777" w:rsidR="007C52AE" w:rsidRDefault="00615B84" w:rsidP="008E4CCE">
      <w:pPr>
        <w:spacing w:before="360" w:after="480" w:line="240" w:lineRule="auto"/>
        <w:rPr>
          <w:rFonts w:ascii="Times New Roman" w:hAnsi="Times New Roman" w:cs="Times New Roman"/>
          <w:color w:val="000000"/>
          <w:sz w:val="22"/>
          <w:szCs w:val="22"/>
        </w:rPr>
      </w:pPr>
      <w:r>
        <w:rPr>
          <w:rFonts w:ascii="Times New Roman" w:hAnsi="Times New Roman" w:cs="Times New Roman"/>
          <w:color w:val="000000"/>
          <w:sz w:val="22"/>
          <w:szCs w:val="22"/>
        </w:rPr>
        <w:t xml:space="preserve">We believe that there is a need for new valuation solutions. </w:t>
      </w:r>
      <w:r w:rsidR="00E029C6">
        <w:rPr>
          <w:rFonts w:ascii="Times New Roman" w:hAnsi="Times New Roman" w:cs="Times New Roman"/>
          <w:color w:val="000000"/>
          <w:sz w:val="22"/>
          <w:szCs w:val="22"/>
        </w:rPr>
        <w:t xml:space="preserve">We can envision a solution that marries </w:t>
      </w:r>
      <w:r w:rsidR="00CA23C5" w:rsidRPr="00CA23C5">
        <w:rPr>
          <w:rFonts w:ascii="Times New Roman" w:hAnsi="Times New Roman" w:cs="Times New Roman"/>
          <w:color w:val="000000"/>
          <w:sz w:val="22"/>
          <w:szCs w:val="22"/>
        </w:rPr>
        <w:t xml:space="preserve">a highly qualified inspector </w:t>
      </w:r>
      <w:r w:rsidR="009C31D6">
        <w:rPr>
          <w:rFonts w:ascii="Times New Roman" w:hAnsi="Times New Roman" w:cs="Times New Roman"/>
          <w:color w:val="000000"/>
          <w:sz w:val="22"/>
          <w:szCs w:val="22"/>
        </w:rPr>
        <w:t>evaluati</w:t>
      </w:r>
      <w:r w:rsidR="00315FF3">
        <w:rPr>
          <w:rFonts w:ascii="Times New Roman" w:hAnsi="Times New Roman" w:cs="Times New Roman"/>
          <w:color w:val="000000"/>
          <w:sz w:val="22"/>
          <w:szCs w:val="22"/>
        </w:rPr>
        <w:t>ng</w:t>
      </w:r>
      <w:r w:rsidR="009C31D6">
        <w:rPr>
          <w:rFonts w:ascii="Times New Roman" w:hAnsi="Times New Roman" w:cs="Times New Roman"/>
          <w:color w:val="000000"/>
          <w:sz w:val="22"/>
          <w:szCs w:val="22"/>
        </w:rPr>
        <w:t xml:space="preserve"> property condition in conjunction with an AVM doing quantitative analysis </w:t>
      </w:r>
      <w:r w:rsidR="002C4281">
        <w:rPr>
          <w:rFonts w:ascii="Times New Roman" w:hAnsi="Times New Roman" w:cs="Times New Roman"/>
          <w:color w:val="000000"/>
          <w:sz w:val="22"/>
          <w:szCs w:val="22"/>
        </w:rPr>
        <w:t xml:space="preserve">and a trained appraiser reconciling the value </w:t>
      </w:r>
      <w:r w:rsidR="009C31D6">
        <w:rPr>
          <w:rFonts w:ascii="Times New Roman" w:hAnsi="Times New Roman" w:cs="Times New Roman"/>
          <w:color w:val="000000"/>
          <w:sz w:val="22"/>
          <w:szCs w:val="22"/>
        </w:rPr>
        <w:t xml:space="preserve">to produce the best valuation for the lowest cost. </w:t>
      </w:r>
    </w:p>
    <w:p w14:paraId="1C4E5438" w14:textId="14AB4440" w:rsidR="005E7771" w:rsidRDefault="005E7771" w:rsidP="008E4CCE">
      <w:pPr>
        <w:spacing w:before="360" w:after="480" w:line="240" w:lineRule="auto"/>
        <w:rPr>
          <w:rFonts w:ascii="Times New Roman" w:hAnsi="Times New Roman" w:cs="Times New Roman"/>
          <w:color w:val="000000"/>
          <w:sz w:val="22"/>
          <w:szCs w:val="22"/>
        </w:rPr>
      </w:pPr>
      <w:r>
        <w:rPr>
          <w:rFonts w:ascii="Times New Roman" w:hAnsi="Times New Roman" w:cs="Times New Roman"/>
          <w:color w:val="000000"/>
          <w:sz w:val="22"/>
          <w:szCs w:val="22"/>
        </w:rPr>
        <w:t>In the case of the GSEs, each has developed its own AVM to use in the appraisal waiver process. Because of the variability in performance that we observe in AVMs, we believe that relying on a single AVM is a drawback that creates increased risk in two ways.</w:t>
      </w:r>
    </w:p>
    <w:p w14:paraId="0E5B8534" w14:textId="1B6A0E2E" w:rsidR="009C31D6" w:rsidRDefault="009C31D6" w:rsidP="008E4CCE">
      <w:pPr>
        <w:spacing w:before="360" w:after="480" w:line="240" w:lineRule="auto"/>
        <w:rPr>
          <w:rFonts w:ascii="Times New Roman" w:hAnsi="Times New Roman" w:cs="Times New Roman"/>
          <w:color w:val="000000"/>
          <w:sz w:val="22"/>
          <w:szCs w:val="22"/>
        </w:rPr>
      </w:pPr>
      <w:r>
        <w:rPr>
          <w:rFonts w:ascii="Times New Roman" w:hAnsi="Times New Roman" w:cs="Times New Roman"/>
          <w:color w:val="000000"/>
          <w:sz w:val="22"/>
          <w:szCs w:val="22"/>
        </w:rPr>
        <w:t xml:space="preserve">First, using a single AVM </w:t>
      </w:r>
      <w:r w:rsidR="007C52AE">
        <w:rPr>
          <w:rFonts w:ascii="Times New Roman" w:hAnsi="Times New Roman" w:cs="Times New Roman"/>
          <w:color w:val="000000"/>
          <w:sz w:val="22"/>
          <w:szCs w:val="22"/>
        </w:rPr>
        <w:t xml:space="preserve">leaves significant room for improvement. Having only one AVM </w:t>
      </w:r>
      <w:r>
        <w:rPr>
          <w:rFonts w:ascii="Times New Roman" w:hAnsi="Times New Roman" w:cs="Times New Roman"/>
          <w:color w:val="000000"/>
          <w:sz w:val="22"/>
          <w:szCs w:val="22"/>
        </w:rPr>
        <w:t>reduces the percentage of time</w:t>
      </w:r>
      <w:r w:rsidR="002C4281">
        <w:rPr>
          <w:rFonts w:ascii="Times New Roman" w:hAnsi="Times New Roman" w:cs="Times New Roman"/>
          <w:color w:val="000000"/>
          <w:sz w:val="22"/>
          <w:szCs w:val="22"/>
        </w:rPr>
        <w:t xml:space="preserve">s that </w:t>
      </w:r>
      <w:r w:rsidR="007C52AE">
        <w:rPr>
          <w:rFonts w:ascii="Times New Roman" w:hAnsi="Times New Roman" w:cs="Times New Roman"/>
          <w:color w:val="000000"/>
          <w:sz w:val="22"/>
          <w:szCs w:val="22"/>
        </w:rPr>
        <w:t xml:space="preserve">that </w:t>
      </w:r>
      <w:r w:rsidR="002C4281">
        <w:rPr>
          <w:rFonts w:ascii="Times New Roman" w:hAnsi="Times New Roman" w:cs="Times New Roman"/>
          <w:color w:val="000000"/>
          <w:sz w:val="22"/>
          <w:szCs w:val="22"/>
        </w:rPr>
        <w:t>AVM will return a “qualified” value</w:t>
      </w:r>
      <w:r w:rsidR="00B571CF">
        <w:rPr>
          <w:rFonts w:ascii="Times New Roman" w:hAnsi="Times New Roman" w:cs="Times New Roman"/>
          <w:color w:val="000000"/>
          <w:sz w:val="22"/>
          <w:szCs w:val="22"/>
        </w:rPr>
        <w:t>. This reduces how often</w:t>
      </w:r>
      <w:r>
        <w:rPr>
          <w:rFonts w:ascii="Times New Roman" w:hAnsi="Times New Roman" w:cs="Times New Roman"/>
          <w:color w:val="000000"/>
          <w:sz w:val="22"/>
          <w:szCs w:val="22"/>
        </w:rPr>
        <w:t xml:space="preserve"> a hybrid solution can be employed. </w:t>
      </w:r>
      <w:r w:rsidR="007C52AE">
        <w:rPr>
          <w:rFonts w:ascii="Times New Roman" w:hAnsi="Times New Roman" w:cs="Times New Roman"/>
          <w:color w:val="000000"/>
          <w:sz w:val="22"/>
          <w:szCs w:val="22"/>
        </w:rPr>
        <w:t xml:space="preserve">Oftentimes at least one of the 25 other commercially available AVMs will have a better track record valuing property in any individual submarket. Incorporating multiple AVMs reduces the risk of an inaccurate valuation or a severe overvaluation. </w:t>
      </w:r>
      <w:r w:rsidR="00BE72F6">
        <w:rPr>
          <w:rFonts w:ascii="Times New Roman" w:hAnsi="Times New Roman" w:cs="Times New Roman"/>
          <w:color w:val="000000"/>
          <w:sz w:val="22"/>
          <w:szCs w:val="22"/>
        </w:rPr>
        <w:t>Second</w:t>
      </w:r>
      <w:r w:rsidR="007C52AE">
        <w:rPr>
          <w:rFonts w:ascii="Times New Roman" w:hAnsi="Times New Roman" w:cs="Times New Roman"/>
          <w:color w:val="000000"/>
          <w:sz w:val="22"/>
          <w:szCs w:val="22"/>
        </w:rPr>
        <w:t xml:space="preserve">, at the point of use, </w:t>
      </w:r>
      <w:r w:rsidR="00315FF3">
        <w:rPr>
          <w:rFonts w:ascii="Times New Roman" w:hAnsi="Times New Roman" w:cs="Times New Roman"/>
          <w:color w:val="000000"/>
          <w:sz w:val="22"/>
          <w:szCs w:val="22"/>
        </w:rPr>
        <w:t>there’s significant risk of originators developing “target lock” on the AVM value estimate</w:t>
      </w:r>
      <w:r w:rsidR="00FB048F">
        <w:rPr>
          <w:rStyle w:val="FootnoteReference"/>
          <w:rFonts w:ascii="Times New Roman" w:hAnsi="Times New Roman" w:cs="Times New Roman"/>
          <w:color w:val="000000"/>
          <w:sz w:val="22"/>
          <w:szCs w:val="22"/>
        </w:rPr>
        <w:footnoteReference w:id="1"/>
      </w:r>
      <w:r w:rsidR="002C4281">
        <w:rPr>
          <w:rFonts w:ascii="Times New Roman" w:hAnsi="Times New Roman" w:cs="Times New Roman"/>
          <w:color w:val="000000"/>
          <w:sz w:val="22"/>
          <w:szCs w:val="22"/>
        </w:rPr>
        <w:t xml:space="preserve"> </w:t>
      </w:r>
      <w:r w:rsidR="00BE72F6">
        <w:rPr>
          <w:rFonts w:ascii="Times New Roman" w:hAnsi="Times New Roman" w:cs="Times New Roman"/>
          <w:color w:val="000000"/>
          <w:sz w:val="22"/>
          <w:szCs w:val="22"/>
        </w:rPr>
        <w:t>without enough appreciation for the confidence in that value estimate.</w:t>
      </w:r>
    </w:p>
    <w:p w14:paraId="794E3B4A" w14:textId="23FBCAD7" w:rsidR="0096536E" w:rsidRDefault="0096536E" w:rsidP="008E4CCE">
      <w:pPr>
        <w:spacing w:before="360" w:after="480" w:line="240" w:lineRule="auto"/>
        <w:rPr>
          <w:rFonts w:ascii="Times New Roman" w:hAnsi="Times New Roman" w:cs="Times New Roman"/>
          <w:color w:val="000000"/>
          <w:sz w:val="22"/>
          <w:szCs w:val="22"/>
        </w:rPr>
      </w:pPr>
      <w:r>
        <w:rPr>
          <w:rFonts w:ascii="Times New Roman" w:hAnsi="Times New Roman" w:cs="Times New Roman"/>
          <w:color w:val="000000"/>
          <w:sz w:val="22"/>
          <w:szCs w:val="22"/>
        </w:rPr>
        <w:t>We believe that good fundamentals for AVM usage include the following:</w:t>
      </w:r>
    </w:p>
    <w:p w14:paraId="2190649E" w14:textId="48143E4A" w:rsidR="0096536E" w:rsidRDefault="0096536E" w:rsidP="0096536E">
      <w:pPr>
        <w:pStyle w:val="ListParagraph"/>
        <w:numPr>
          <w:ilvl w:val="0"/>
          <w:numId w:val="1"/>
        </w:numPr>
        <w:spacing w:before="360" w:after="480" w:line="240" w:lineRule="auto"/>
        <w:rPr>
          <w:rFonts w:ascii="Times New Roman" w:hAnsi="Times New Roman" w:cs="Times New Roman"/>
          <w:color w:val="000000"/>
          <w:sz w:val="22"/>
          <w:szCs w:val="22"/>
        </w:rPr>
      </w:pPr>
      <w:r>
        <w:rPr>
          <w:rFonts w:ascii="Times New Roman" w:hAnsi="Times New Roman" w:cs="Times New Roman"/>
          <w:color w:val="000000"/>
          <w:sz w:val="22"/>
          <w:szCs w:val="22"/>
        </w:rPr>
        <w:t xml:space="preserve">Establish minimum thresholds for AVM performance along multiple </w:t>
      </w:r>
      <w:r w:rsidR="00241C17">
        <w:rPr>
          <w:rFonts w:ascii="Times New Roman" w:hAnsi="Times New Roman" w:cs="Times New Roman"/>
          <w:color w:val="000000"/>
          <w:sz w:val="22"/>
          <w:szCs w:val="22"/>
        </w:rPr>
        <w:t xml:space="preserve">dimensions </w:t>
      </w:r>
      <w:r>
        <w:rPr>
          <w:rFonts w:ascii="Times New Roman" w:hAnsi="Times New Roman" w:cs="Times New Roman"/>
          <w:color w:val="000000"/>
          <w:sz w:val="22"/>
          <w:szCs w:val="22"/>
        </w:rPr>
        <w:t xml:space="preserve">that include </w:t>
      </w:r>
      <w:r w:rsidR="00241C17">
        <w:rPr>
          <w:rFonts w:ascii="Times New Roman" w:hAnsi="Times New Roman" w:cs="Times New Roman"/>
          <w:color w:val="000000"/>
          <w:sz w:val="22"/>
          <w:szCs w:val="22"/>
        </w:rPr>
        <w:t xml:space="preserve">metrics for </w:t>
      </w:r>
      <w:r>
        <w:rPr>
          <w:rFonts w:ascii="Times New Roman" w:hAnsi="Times New Roman" w:cs="Times New Roman"/>
          <w:color w:val="000000"/>
          <w:sz w:val="22"/>
          <w:szCs w:val="22"/>
        </w:rPr>
        <w:t>accuracy, precision and outliers</w:t>
      </w:r>
      <w:r>
        <w:rPr>
          <w:rStyle w:val="FootnoteReference"/>
          <w:rFonts w:ascii="Times New Roman" w:hAnsi="Times New Roman" w:cs="Times New Roman"/>
          <w:color w:val="000000"/>
          <w:sz w:val="22"/>
          <w:szCs w:val="22"/>
        </w:rPr>
        <w:footnoteReference w:id="2"/>
      </w:r>
    </w:p>
    <w:p w14:paraId="42C51962" w14:textId="3E45BC9E" w:rsidR="0096536E" w:rsidRDefault="0096536E" w:rsidP="0096536E">
      <w:pPr>
        <w:pStyle w:val="ListParagraph"/>
        <w:numPr>
          <w:ilvl w:val="0"/>
          <w:numId w:val="1"/>
        </w:numPr>
        <w:spacing w:before="360" w:after="480" w:line="240" w:lineRule="auto"/>
        <w:rPr>
          <w:rFonts w:ascii="Times New Roman" w:hAnsi="Times New Roman" w:cs="Times New Roman"/>
          <w:color w:val="000000"/>
          <w:sz w:val="22"/>
          <w:szCs w:val="22"/>
        </w:rPr>
      </w:pPr>
      <w:r>
        <w:rPr>
          <w:rFonts w:ascii="Times New Roman" w:hAnsi="Times New Roman" w:cs="Times New Roman"/>
          <w:color w:val="000000"/>
          <w:sz w:val="22"/>
          <w:szCs w:val="22"/>
        </w:rPr>
        <w:t xml:space="preserve">Conduct </w:t>
      </w:r>
      <w:r w:rsidR="00015021">
        <w:rPr>
          <w:rFonts w:ascii="Times New Roman" w:hAnsi="Times New Roman" w:cs="Times New Roman"/>
          <w:color w:val="000000"/>
          <w:sz w:val="22"/>
          <w:szCs w:val="22"/>
        </w:rPr>
        <w:t xml:space="preserve">frequent </w:t>
      </w:r>
      <w:r>
        <w:rPr>
          <w:rFonts w:ascii="Times New Roman" w:hAnsi="Times New Roman" w:cs="Times New Roman"/>
          <w:color w:val="000000"/>
          <w:sz w:val="22"/>
          <w:szCs w:val="22"/>
        </w:rPr>
        <w:t xml:space="preserve">testing of </w:t>
      </w:r>
      <w:r w:rsidR="00BE72F6">
        <w:rPr>
          <w:rFonts w:ascii="Times New Roman" w:hAnsi="Times New Roman" w:cs="Times New Roman"/>
          <w:color w:val="000000"/>
          <w:sz w:val="22"/>
          <w:szCs w:val="22"/>
        </w:rPr>
        <w:t>multiple</w:t>
      </w:r>
      <w:r>
        <w:rPr>
          <w:rFonts w:ascii="Times New Roman" w:hAnsi="Times New Roman" w:cs="Times New Roman"/>
          <w:color w:val="000000"/>
          <w:sz w:val="22"/>
          <w:szCs w:val="22"/>
        </w:rPr>
        <w:t xml:space="preserve"> AVMs</w:t>
      </w:r>
      <w:r w:rsidR="00BE72F6">
        <w:rPr>
          <w:rFonts w:ascii="Times New Roman" w:hAnsi="Times New Roman" w:cs="Times New Roman"/>
          <w:color w:val="000000"/>
          <w:sz w:val="22"/>
          <w:szCs w:val="22"/>
        </w:rPr>
        <w:t>’</w:t>
      </w:r>
      <w:r>
        <w:rPr>
          <w:rFonts w:ascii="Times New Roman" w:hAnsi="Times New Roman" w:cs="Times New Roman"/>
          <w:color w:val="000000"/>
          <w:sz w:val="22"/>
          <w:szCs w:val="22"/>
        </w:rPr>
        <w:t xml:space="preserve"> performance using those metrics and comparing to the preestablished thresholds</w:t>
      </w:r>
    </w:p>
    <w:p w14:paraId="6BA1A20F" w14:textId="5DDA6ABE" w:rsidR="0096536E" w:rsidRPr="00AD0D38" w:rsidRDefault="0096536E" w:rsidP="00AD0D38">
      <w:pPr>
        <w:pStyle w:val="ListParagraph"/>
        <w:numPr>
          <w:ilvl w:val="0"/>
          <w:numId w:val="1"/>
        </w:numPr>
        <w:spacing w:before="360" w:after="480" w:line="240" w:lineRule="auto"/>
        <w:rPr>
          <w:rFonts w:ascii="Times New Roman" w:hAnsi="Times New Roman" w:cs="Times New Roman"/>
          <w:color w:val="000000"/>
          <w:sz w:val="22"/>
          <w:szCs w:val="22"/>
        </w:rPr>
      </w:pPr>
      <w:r>
        <w:rPr>
          <w:rFonts w:ascii="Times New Roman" w:hAnsi="Times New Roman" w:cs="Times New Roman"/>
          <w:color w:val="000000"/>
          <w:sz w:val="22"/>
          <w:szCs w:val="22"/>
        </w:rPr>
        <w:t>Use a scoring system to create an overall grade for acceptability</w:t>
      </w:r>
      <w:r w:rsidR="00BE72F6">
        <w:rPr>
          <w:rFonts w:ascii="Times New Roman" w:hAnsi="Times New Roman" w:cs="Times New Roman"/>
          <w:color w:val="000000"/>
          <w:sz w:val="22"/>
          <w:szCs w:val="22"/>
        </w:rPr>
        <w:t xml:space="preserve"> and </w:t>
      </w:r>
      <w:r>
        <w:rPr>
          <w:rFonts w:ascii="Times New Roman" w:hAnsi="Times New Roman" w:cs="Times New Roman"/>
          <w:color w:val="000000"/>
          <w:sz w:val="22"/>
          <w:szCs w:val="22"/>
        </w:rPr>
        <w:t>to rank the</w:t>
      </w:r>
      <w:r w:rsidR="00BE72F6">
        <w:rPr>
          <w:rFonts w:ascii="Times New Roman" w:hAnsi="Times New Roman" w:cs="Times New Roman"/>
          <w:color w:val="000000"/>
          <w:sz w:val="22"/>
          <w:szCs w:val="22"/>
        </w:rPr>
        <w:t xml:space="preserve"> AVMs</w:t>
      </w:r>
      <w:r w:rsidR="00241C17">
        <w:rPr>
          <w:rFonts w:ascii="Times New Roman" w:hAnsi="Times New Roman" w:cs="Times New Roman"/>
          <w:color w:val="000000"/>
          <w:sz w:val="22"/>
          <w:szCs w:val="22"/>
        </w:rPr>
        <w:t xml:space="preserve"> based on performance and uncertainty metrics</w:t>
      </w:r>
      <w:r>
        <w:rPr>
          <w:rFonts w:ascii="Times New Roman" w:hAnsi="Times New Roman" w:cs="Times New Roman"/>
          <w:color w:val="000000"/>
          <w:sz w:val="22"/>
          <w:szCs w:val="22"/>
        </w:rPr>
        <w:t>.</w:t>
      </w:r>
    </w:p>
    <w:p w14:paraId="61407CA6" w14:textId="20FE4E24" w:rsidR="00AB2AFD" w:rsidRDefault="00615B84" w:rsidP="008E4CCE">
      <w:pPr>
        <w:spacing w:before="360" w:after="480" w:line="240" w:lineRule="auto"/>
        <w:rPr>
          <w:rFonts w:ascii="Times New Roman" w:hAnsi="Times New Roman" w:cs="Times New Roman"/>
          <w:color w:val="000000"/>
          <w:sz w:val="22"/>
          <w:szCs w:val="22"/>
        </w:rPr>
      </w:pPr>
      <w:r>
        <w:rPr>
          <w:rFonts w:ascii="Times New Roman" w:hAnsi="Times New Roman" w:cs="Times New Roman"/>
          <w:color w:val="000000"/>
          <w:sz w:val="22"/>
          <w:szCs w:val="22"/>
        </w:rPr>
        <w:t xml:space="preserve">To mitigate the </w:t>
      </w:r>
      <w:r w:rsidR="00B8251A">
        <w:rPr>
          <w:rFonts w:ascii="Times New Roman" w:hAnsi="Times New Roman" w:cs="Times New Roman"/>
          <w:color w:val="000000"/>
          <w:sz w:val="22"/>
          <w:szCs w:val="22"/>
        </w:rPr>
        <w:t xml:space="preserve">drawbacks </w:t>
      </w:r>
      <w:r w:rsidR="002C4281">
        <w:rPr>
          <w:rFonts w:ascii="Times New Roman" w:hAnsi="Times New Roman" w:cs="Times New Roman"/>
          <w:color w:val="000000"/>
          <w:sz w:val="22"/>
          <w:szCs w:val="22"/>
        </w:rPr>
        <w:t>of using only a single AVM as the GSE’s currently do</w:t>
      </w:r>
      <w:r>
        <w:rPr>
          <w:rFonts w:ascii="Times New Roman" w:hAnsi="Times New Roman" w:cs="Times New Roman"/>
          <w:color w:val="000000"/>
          <w:sz w:val="22"/>
          <w:szCs w:val="22"/>
        </w:rPr>
        <w:t xml:space="preserve">, we recommend </w:t>
      </w:r>
      <w:r w:rsidR="00CA23C5" w:rsidRPr="00CA23C5">
        <w:rPr>
          <w:rFonts w:ascii="Times New Roman" w:hAnsi="Times New Roman" w:cs="Times New Roman"/>
          <w:color w:val="000000"/>
          <w:sz w:val="22"/>
          <w:szCs w:val="22"/>
        </w:rPr>
        <w:t xml:space="preserve">a </w:t>
      </w:r>
      <w:r w:rsidR="00AA1A7A">
        <w:rPr>
          <w:rFonts w:ascii="Times New Roman" w:hAnsi="Times New Roman" w:cs="Times New Roman"/>
          <w:color w:val="000000"/>
          <w:sz w:val="22"/>
          <w:szCs w:val="22"/>
        </w:rPr>
        <w:t>Model Preference Table</w:t>
      </w:r>
      <w:r w:rsidR="00961C5D">
        <w:rPr>
          <w:rFonts w:ascii="Times New Roman" w:hAnsi="Times New Roman" w:cs="Times New Roman"/>
          <w:color w:val="000000"/>
          <w:sz w:val="22"/>
          <w:szCs w:val="22"/>
        </w:rPr>
        <w:t>®</w:t>
      </w:r>
      <w:r w:rsidR="00CA23C5" w:rsidRPr="00CA23C5">
        <w:rPr>
          <w:rFonts w:ascii="Times New Roman" w:hAnsi="Times New Roman" w:cs="Times New Roman"/>
          <w:color w:val="000000"/>
          <w:sz w:val="22"/>
          <w:szCs w:val="22"/>
        </w:rPr>
        <w:t xml:space="preserve"> </w:t>
      </w:r>
      <w:r w:rsidR="009C31D6">
        <w:rPr>
          <w:rFonts w:ascii="Times New Roman" w:hAnsi="Times New Roman" w:cs="Times New Roman"/>
          <w:color w:val="000000"/>
          <w:sz w:val="22"/>
          <w:szCs w:val="22"/>
        </w:rPr>
        <w:t xml:space="preserve">of </w:t>
      </w:r>
      <w:r w:rsidR="00CA23C5" w:rsidRPr="00CA23C5">
        <w:rPr>
          <w:rFonts w:ascii="Times New Roman" w:hAnsi="Times New Roman" w:cs="Times New Roman"/>
          <w:color w:val="000000"/>
          <w:sz w:val="22"/>
          <w:szCs w:val="22"/>
        </w:rPr>
        <w:t>AVM</w:t>
      </w:r>
      <w:r w:rsidR="009C31D6">
        <w:rPr>
          <w:rFonts w:ascii="Times New Roman" w:hAnsi="Times New Roman" w:cs="Times New Roman"/>
          <w:color w:val="000000"/>
          <w:sz w:val="22"/>
          <w:szCs w:val="22"/>
        </w:rPr>
        <w:t>s</w:t>
      </w:r>
      <w:r w:rsidR="00E029C6">
        <w:rPr>
          <w:rFonts w:ascii="Times New Roman" w:hAnsi="Times New Roman" w:cs="Times New Roman"/>
          <w:color w:val="000000"/>
          <w:sz w:val="22"/>
          <w:szCs w:val="22"/>
        </w:rPr>
        <w:t>.</w:t>
      </w:r>
      <w:r w:rsidR="00AB2AFD">
        <w:rPr>
          <w:rFonts w:ascii="Times New Roman" w:hAnsi="Times New Roman" w:cs="Times New Roman"/>
          <w:color w:val="000000"/>
          <w:sz w:val="22"/>
          <w:szCs w:val="22"/>
        </w:rPr>
        <w:t xml:space="preserve"> </w:t>
      </w:r>
      <w:r w:rsidR="004038E3">
        <w:rPr>
          <w:rFonts w:ascii="Times New Roman" w:hAnsi="Times New Roman" w:cs="Times New Roman"/>
          <w:color w:val="000000"/>
          <w:sz w:val="22"/>
          <w:szCs w:val="22"/>
        </w:rPr>
        <w:t>An MPT is developed by testing every model extensively against valid benchmarks, scoring each model’s valuation predictions and ranking the models</w:t>
      </w:r>
      <w:r w:rsidR="00D60C5F">
        <w:rPr>
          <w:rFonts w:ascii="Times New Roman" w:hAnsi="Times New Roman" w:cs="Times New Roman"/>
          <w:color w:val="000000"/>
          <w:sz w:val="22"/>
          <w:szCs w:val="22"/>
        </w:rPr>
        <w:t xml:space="preserve"> based on the results</w:t>
      </w:r>
      <w:r w:rsidR="004038E3">
        <w:rPr>
          <w:rFonts w:ascii="Times New Roman" w:hAnsi="Times New Roman" w:cs="Times New Roman"/>
          <w:color w:val="000000"/>
          <w:sz w:val="22"/>
          <w:szCs w:val="22"/>
        </w:rPr>
        <w:t xml:space="preserve">. </w:t>
      </w:r>
      <w:r w:rsidR="00D60C5F">
        <w:rPr>
          <w:rFonts w:ascii="Times New Roman" w:hAnsi="Times New Roman" w:cs="Times New Roman"/>
          <w:color w:val="000000"/>
          <w:sz w:val="22"/>
          <w:szCs w:val="22"/>
        </w:rPr>
        <w:t xml:space="preserve">Exhibit </w:t>
      </w:r>
      <w:r w:rsidR="00AB2AFD">
        <w:rPr>
          <w:rFonts w:ascii="Times New Roman" w:hAnsi="Times New Roman" w:cs="Times New Roman"/>
          <w:color w:val="000000"/>
          <w:sz w:val="22"/>
          <w:szCs w:val="22"/>
        </w:rPr>
        <w:t xml:space="preserve">1 </w:t>
      </w:r>
      <w:r w:rsidR="00D60C5F">
        <w:rPr>
          <w:rFonts w:ascii="Times New Roman" w:hAnsi="Times New Roman" w:cs="Times New Roman"/>
          <w:color w:val="000000"/>
          <w:sz w:val="22"/>
          <w:szCs w:val="22"/>
        </w:rPr>
        <w:t xml:space="preserve">(attached) </w:t>
      </w:r>
      <w:r w:rsidR="00390E53">
        <w:rPr>
          <w:rFonts w:ascii="Times New Roman" w:hAnsi="Times New Roman" w:cs="Times New Roman"/>
          <w:color w:val="000000"/>
          <w:sz w:val="22"/>
          <w:szCs w:val="22"/>
        </w:rPr>
        <w:t>includes two</w:t>
      </w:r>
      <w:r w:rsidR="00AB2AFD">
        <w:rPr>
          <w:rFonts w:ascii="Times New Roman" w:hAnsi="Times New Roman" w:cs="Times New Roman"/>
          <w:color w:val="000000"/>
          <w:sz w:val="22"/>
          <w:szCs w:val="22"/>
        </w:rPr>
        <w:t xml:space="preserve"> example</w:t>
      </w:r>
      <w:r w:rsidR="00390E53">
        <w:rPr>
          <w:rFonts w:ascii="Times New Roman" w:hAnsi="Times New Roman" w:cs="Times New Roman"/>
          <w:color w:val="000000"/>
          <w:sz w:val="22"/>
          <w:szCs w:val="22"/>
        </w:rPr>
        <w:t>s</w:t>
      </w:r>
      <w:r w:rsidR="00AB2AFD">
        <w:rPr>
          <w:rFonts w:ascii="Times New Roman" w:hAnsi="Times New Roman" w:cs="Times New Roman"/>
          <w:color w:val="000000"/>
          <w:sz w:val="22"/>
          <w:szCs w:val="22"/>
        </w:rPr>
        <w:t xml:space="preserve"> of MPT</w:t>
      </w:r>
      <w:r w:rsidR="00390E53">
        <w:rPr>
          <w:rFonts w:ascii="Times New Roman" w:hAnsi="Times New Roman" w:cs="Times New Roman"/>
          <w:color w:val="000000"/>
          <w:sz w:val="22"/>
          <w:szCs w:val="22"/>
        </w:rPr>
        <w:t>s</w:t>
      </w:r>
      <w:r w:rsidR="00AB2AFD">
        <w:rPr>
          <w:rFonts w:ascii="Times New Roman" w:hAnsi="Times New Roman" w:cs="Times New Roman"/>
          <w:color w:val="000000"/>
          <w:sz w:val="22"/>
          <w:szCs w:val="22"/>
        </w:rPr>
        <w:t xml:space="preserve"> optimized for the target geography, </w:t>
      </w:r>
      <w:r w:rsidR="00D60C5F">
        <w:rPr>
          <w:rFonts w:ascii="Times New Roman" w:hAnsi="Times New Roman" w:cs="Times New Roman"/>
          <w:color w:val="000000"/>
          <w:sz w:val="22"/>
          <w:szCs w:val="22"/>
        </w:rPr>
        <w:t xml:space="preserve">property </w:t>
      </w:r>
      <w:r w:rsidR="00D60C5F">
        <w:rPr>
          <w:rFonts w:ascii="Times New Roman" w:hAnsi="Times New Roman" w:cs="Times New Roman"/>
          <w:color w:val="000000"/>
          <w:sz w:val="22"/>
          <w:szCs w:val="22"/>
        </w:rPr>
        <w:lastRenderedPageBreak/>
        <w:t>type and price tier</w:t>
      </w:r>
      <w:r w:rsidR="00AB2AFD">
        <w:rPr>
          <w:rFonts w:ascii="Times New Roman" w:hAnsi="Times New Roman" w:cs="Times New Roman"/>
          <w:color w:val="000000"/>
          <w:sz w:val="22"/>
          <w:szCs w:val="22"/>
        </w:rPr>
        <w:t xml:space="preserve">. </w:t>
      </w:r>
      <w:r w:rsidR="00390E53">
        <w:rPr>
          <w:rFonts w:ascii="Times New Roman" w:hAnsi="Times New Roman" w:cs="Times New Roman"/>
          <w:color w:val="000000"/>
          <w:sz w:val="22"/>
          <w:szCs w:val="22"/>
        </w:rPr>
        <w:t>We believe that a MPT minimizes the risk of unusable or inaccurate valuations or overvaluations.</w:t>
      </w:r>
    </w:p>
    <w:p w14:paraId="1310471F" w14:textId="1161F68A" w:rsidR="00CA23C5" w:rsidRPr="00CA23C5" w:rsidRDefault="00E029C6" w:rsidP="008E4CCE">
      <w:pPr>
        <w:spacing w:before="360" w:after="480" w:line="240" w:lineRule="auto"/>
        <w:rPr>
          <w:rFonts w:ascii="Times New Roman" w:hAnsi="Times New Roman" w:cs="Times New Roman"/>
          <w:color w:val="000000"/>
          <w:sz w:val="22"/>
          <w:szCs w:val="22"/>
        </w:rPr>
      </w:pPr>
      <w:r>
        <w:rPr>
          <w:rFonts w:ascii="Times New Roman" w:hAnsi="Times New Roman" w:cs="Times New Roman"/>
          <w:color w:val="000000"/>
          <w:sz w:val="22"/>
          <w:szCs w:val="22"/>
        </w:rPr>
        <w:t>T</w:t>
      </w:r>
      <w:r w:rsidR="00615B84">
        <w:rPr>
          <w:rFonts w:ascii="Times New Roman" w:hAnsi="Times New Roman" w:cs="Times New Roman"/>
          <w:color w:val="000000"/>
          <w:sz w:val="22"/>
          <w:szCs w:val="22"/>
        </w:rPr>
        <w:t xml:space="preserve">o help </w:t>
      </w:r>
      <w:r w:rsidR="002C4281">
        <w:rPr>
          <w:rFonts w:ascii="Times New Roman" w:hAnsi="Times New Roman" w:cs="Times New Roman"/>
          <w:color w:val="000000"/>
          <w:sz w:val="22"/>
          <w:szCs w:val="22"/>
        </w:rPr>
        <w:t xml:space="preserve">the GSE’s and other potential </w:t>
      </w:r>
      <w:r w:rsidR="00615B84">
        <w:rPr>
          <w:rFonts w:ascii="Times New Roman" w:hAnsi="Times New Roman" w:cs="Times New Roman"/>
          <w:color w:val="000000"/>
          <w:sz w:val="22"/>
          <w:szCs w:val="22"/>
        </w:rPr>
        <w:t>originators avoid the “target lock” issue, t</w:t>
      </w:r>
      <w:r>
        <w:rPr>
          <w:rFonts w:ascii="Times New Roman" w:hAnsi="Times New Roman" w:cs="Times New Roman"/>
          <w:color w:val="000000"/>
          <w:sz w:val="22"/>
          <w:szCs w:val="22"/>
        </w:rPr>
        <w:t xml:space="preserve">he valuation solution might present the results with risk </w:t>
      </w:r>
      <w:r w:rsidR="00241C17">
        <w:rPr>
          <w:rFonts w:ascii="Times New Roman" w:hAnsi="Times New Roman" w:cs="Times New Roman"/>
          <w:color w:val="000000"/>
          <w:sz w:val="22"/>
          <w:szCs w:val="22"/>
        </w:rPr>
        <w:t xml:space="preserve">metrics </w:t>
      </w:r>
      <w:r>
        <w:rPr>
          <w:rFonts w:ascii="Times New Roman" w:hAnsi="Times New Roman" w:cs="Times New Roman"/>
          <w:color w:val="000000"/>
          <w:sz w:val="22"/>
          <w:szCs w:val="22"/>
        </w:rPr>
        <w:t>being more prominent than valuation.</w:t>
      </w:r>
      <w:r w:rsidR="003C0F7D">
        <w:rPr>
          <w:rStyle w:val="FootnoteReference"/>
          <w:rFonts w:ascii="Times New Roman" w:hAnsi="Times New Roman" w:cs="Times New Roman"/>
          <w:color w:val="000000"/>
          <w:sz w:val="22"/>
          <w:szCs w:val="22"/>
        </w:rPr>
        <w:footnoteReference w:id="3"/>
      </w:r>
      <w:r>
        <w:rPr>
          <w:rFonts w:ascii="Times New Roman" w:hAnsi="Times New Roman" w:cs="Times New Roman"/>
          <w:color w:val="000000"/>
          <w:sz w:val="22"/>
          <w:szCs w:val="22"/>
        </w:rPr>
        <w:t xml:space="preserve"> The solution might also consider presenting different categories of risk, like letter grades. In this way, an “A” grade valuation would be relied on more heavily than a “B” grade valuation or a “C” grade. “A” </w:t>
      </w:r>
      <w:proofErr w:type="gramStart"/>
      <w:r>
        <w:rPr>
          <w:rFonts w:ascii="Times New Roman" w:hAnsi="Times New Roman" w:cs="Times New Roman"/>
          <w:color w:val="000000"/>
          <w:sz w:val="22"/>
          <w:szCs w:val="22"/>
        </w:rPr>
        <w:t>grades</w:t>
      </w:r>
      <w:proofErr w:type="gramEnd"/>
      <w:r>
        <w:rPr>
          <w:rFonts w:ascii="Times New Roman" w:hAnsi="Times New Roman" w:cs="Times New Roman"/>
          <w:color w:val="000000"/>
          <w:sz w:val="22"/>
          <w:szCs w:val="22"/>
        </w:rPr>
        <w:t xml:space="preserve"> might be eligible for higher LTVs, whereas “D” grades might require a different valuation type to lend beyond a very low LTV. </w:t>
      </w:r>
    </w:p>
    <w:tbl>
      <w:tblPr>
        <w:tblStyle w:val="TableGrid"/>
        <w:tblW w:w="0" w:type="auto"/>
        <w:tblLook w:val="04A0" w:firstRow="1" w:lastRow="0" w:firstColumn="1" w:lastColumn="0" w:noHBand="0" w:noVBand="1"/>
      </w:tblPr>
      <w:tblGrid>
        <w:gridCol w:w="1705"/>
        <w:gridCol w:w="6061"/>
      </w:tblGrid>
      <w:tr w:rsidR="00CA23C5" w:rsidRPr="00C1617B" w14:paraId="41B4F6A4" w14:textId="77777777" w:rsidTr="007C6CA5">
        <w:tc>
          <w:tcPr>
            <w:tcW w:w="1705" w:type="dxa"/>
            <w:shd w:val="clear" w:color="auto" w:fill="1A497B"/>
          </w:tcPr>
          <w:p w14:paraId="0ACFFE6A" w14:textId="3EEA4CD0" w:rsidR="00CA23C5" w:rsidRPr="00C1617B" w:rsidRDefault="00CA23C5" w:rsidP="007C6CA5">
            <w:pPr>
              <w:rPr>
                <w:rFonts w:ascii="Times New Roman" w:hAnsi="Times New Roman" w:cs="Times New Roman"/>
                <w:color w:val="FFFFFF" w:themeColor="background1"/>
                <w:sz w:val="22"/>
                <w:szCs w:val="22"/>
              </w:rPr>
            </w:pPr>
            <w:r w:rsidRPr="00C1617B">
              <w:rPr>
                <w:rFonts w:ascii="Times New Roman" w:hAnsi="Times New Roman" w:cs="Times New Roman"/>
                <w:color w:val="FFFFFF" w:themeColor="background1"/>
                <w:sz w:val="22"/>
                <w:szCs w:val="22"/>
              </w:rPr>
              <w:t>Question A1.</w:t>
            </w:r>
            <w:r>
              <w:rPr>
                <w:rFonts w:ascii="Times New Roman" w:hAnsi="Times New Roman" w:cs="Times New Roman"/>
                <w:color w:val="FFFFFF" w:themeColor="background1"/>
                <w:sz w:val="22"/>
                <w:szCs w:val="22"/>
              </w:rPr>
              <w:t>2</w:t>
            </w:r>
            <w:r w:rsidRPr="00C1617B">
              <w:rPr>
                <w:rFonts w:ascii="Times New Roman" w:hAnsi="Times New Roman" w:cs="Times New Roman"/>
                <w:color w:val="FFFFFF" w:themeColor="background1"/>
                <w:sz w:val="22"/>
                <w:szCs w:val="22"/>
              </w:rPr>
              <w:t>:</w:t>
            </w:r>
          </w:p>
        </w:tc>
        <w:tc>
          <w:tcPr>
            <w:tcW w:w="6061" w:type="dxa"/>
          </w:tcPr>
          <w:p w14:paraId="685FE3D9" w14:textId="4C832CCD" w:rsidR="00CA23C5" w:rsidRPr="00C1617B" w:rsidRDefault="00CA23C5" w:rsidP="007C6CA5">
            <w:pPr>
              <w:autoSpaceDE w:val="0"/>
              <w:autoSpaceDN w:val="0"/>
              <w:adjustRightInd w:val="0"/>
              <w:rPr>
                <w:rFonts w:ascii="Times New Roman" w:hAnsi="Times New Roman" w:cs="Times New Roman"/>
                <w:sz w:val="22"/>
                <w:szCs w:val="22"/>
              </w:rPr>
            </w:pPr>
            <w:r w:rsidRPr="00CA23C5">
              <w:rPr>
                <w:rFonts w:ascii="Times New Roman" w:hAnsi="Times New Roman" w:cs="Times New Roman"/>
                <w:color w:val="000000"/>
                <w:sz w:val="22"/>
                <w:szCs w:val="22"/>
              </w:rPr>
              <w:t>Are there opportunities for process improvements that allow non-traditional valuation services (inspection-only, desktop, exterior-only) to augment traditional appraisals? Please elaborate on the risks, challenges and benefits. Separately, are there opportunities to improve traditional appraisals to mitigate problems and concerns that have been observed to date?</w:t>
            </w:r>
          </w:p>
        </w:tc>
      </w:tr>
    </w:tbl>
    <w:p w14:paraId="37A14AA8" w14:textId="5A95AD42" w:rsidR="00675433" w:rsidRDefault="00E029C6" w:rsidP="008E4CCE">
      <w:pPr>
        <w:pStyle w:val="Closing"/>
        <w:spacing w:before="360" w:after="480"/>
        <w:rPr>
          <w:rFonts w:ascii="Times New Roman" w:hAnsi="Times New Roman" w:cs="Times New Roman"/>
          <w:bCs w:val="0"/>
          <w:color w:val="000000"/>
          <w:sz w:val="22"/>
          <w:szCs w:val="22"/>
          <w:lang w:eastAsia="ja-JP"/>
        </w:rPr>
      </w:pPr>
      <w:r>
        <w:rPr>
          <w:rFonts w:ascii="Times New Roman" w:hAnsi="Times New Roman" w:cs="Times New Roman"/>
          <w:bCs w:val="0"/>
          <w:color w:val="000000"/>
          <w:sz w:val="22"/>
          <w:szCs w:val="22"/>
          <w:lang w:eastAsia="ja-JP"/>
        </w:rPr>
        <w:t xml:space="preserve">It’s obvious to most industry participants that </w:t>
      </w:r>
      <w:r w:rsidR="008A4255">
        <w:rPr>
          <w:rFonts w:ascii="Times New Roman" w:hAnsi="Times New Roman" w:cs="Times New Roman"/>
          <w:bCs w:val="0"/>
          <w:color w:val="000000"/>
          <w:sz w:val="22"/>
          <w:szCs w:val="22"/>
          <w:lang w:eastAsia="ja-JP"/>
        </w:rPr>
        <w:t xml:space="preserve">there is significant </w:t>
      </w:r>
      <w:r>
        <w:rPr>
          <w:rFonts w:ascii="Times New Roman" w:hAnsi="Times New Roman" w:cs="Times New Roman"/>
          <w:bCs w:val="0"/>
          <w:color w:val="000000"/>
          <w:sz w:val="22"/>
          <w:szCs w:val="22"/>
          <w:lang w:eastAsia="ja-JP"/>
        </w:rPr>
        <w:t xml:space="preserve">risk </w:t>
      </w:r>
      <w:r w:rsidR="008A4255">
        <w:rPr>
          <w:rFonts w:ascii="Times New Roman" w:hAnsi="Times New Roman" w:cs="Times New Roman"/>
          <w:bCs w:val="0"/>
          <w:color w:val="000000"/>
          <w:sz w:val="22"/>
          <w:szCs w:val="22"/>
          <w:lang w:eastAsia="ja-JP"/>
        </w:rPr>
        <w:t xml:space="preserve">in </w:t>
      </w:r>
      <w:r w:rsidR="00CA23C5" w:rsidRPr="00CA23C5">
        <w:rPr>
          <w:rFonts w:ascii="Times New Roman" w:hAnsi="Times New Roman" w:cs="Times New Roman"/>
          <w:bCs w:val="0"/>
          <w:color w:val="000000"/>
          <w:sz w:val="22"/>
          <w:szCs w:val="22"/>
          <w:lang w:eastAsia="ja-JP"/>
        </w:rPr>
        <w:t>relying on inspection-only</w:t>
      </w:r>
      <w:r>
        <w:rPr>
          <w:rFonts w:ascii="Times New Roman" w:hAnsi="Times New Roman" w:cs="Times New Roman"/>
          <w:bCs w:val="0"/>
          <w:color w:val="000000"/>
          <w:sz w:val="22"/>
          <w:szCs w:val="22"/>
          <w:lang w:eastAsia="ja-JP"/>
        </w:rPr>
        <w:t xml:space="preserve"> solutions </w:t>
      </w:r>
      <w:r w:rsidR="00AA1A7A">
        <w:rPr>
          <w:rFonts w:ascii="Times New Roman" w:hAnsi="Times New Roman" w:cs="Times New Roman"/>
          <w:bCs w:val="0"/>
          <w:color w:val="000000"/>
          <w:sz w:val="22"/>
          <w:szCs w:val="22"/>
          <w:lang w:eastAsia="ja-JP"/>
        </w:rPr>
        <w:t xml:space="preserve">when </w:t>
      </w:r>
      <w:r w:rsidR="00961C5D">
        <w:rPr>
          <w:rFonts w:ascii="Times New Roman" w:hAnsi="Times New Roman" w:cs="Times New Roman"/>
          <w:bCs w:val="0"/>
          <w:color w:val="000000"/>
          <w:sz w:val="22"/>
          <w:szCs w:val="22"/>
          <w:lang w:eastAsia="ja-JP"/>
        </w:rPr>
        <w:t xml:space="preserve">they </w:t>
      </w:r>
      <w:r w:rsidR="008A4255">
        <w:rPr>
          <w:rFonts w:ascii="Times New Roman" w:hAnsi="Times New Roman" w:cs="Times New Roman"/>
          <w:bCs w:val="0"/>
          <w:color w:val="000000"/>
          <w:sz w:val="22"/>
          <w:szCs w:val="22"/>
          <w:lang w:eastAsia="ja-JP"/>
        </w:rPr>
        <w:t xml:space="preserve">depend </w:t>
      </w:r>
      <w:r>
        <w:rPr>
          <w:rFonts w:ascii="Times New Roman" w:hAnsi="Times New Roman" w:cs="Times New Roman"/>
          <w:bCs w:val="0"/>
          <w:color w:val="000000"/>
          <w:sz w:val="22"/>
          <w:szCs w:val="22"/>
          <w:lang w:eastAsia="ja-JP"/>
        </w:rPr>
        <w:t xml:space="preserve">on </w:t>
      </w:r>
      <w:r w:rsidR="00AA1A7A">
        <w:rPr>
          <w:rFonts w:ascii="Times New Roman" w:hAnsi="Times New Roman" w:cs="Times New Roman"/>
          <w:bCs w:val="0"/>
          <w:color w:val="000000"/>
          <w:sz w:val="22"/>
          <w:szCs w:val="22"/>
          <w:lang w:eastAsia="ja-JP"/>
        </w:rPr>
        <w:t>untested</w:t>
      </w:r>
      <w:r w:rsidR="00961C5D">
        <w:rPr>
          <w:rFonts w:ascii="Times New Roman" w:hAnsi="Times New Roman" w:cs="Times New Roman"/>
          <w:bCs w:val="0"/>
          <w:color w:val="000000"/>
          <w:sz w:val="22"/>
          <w:szCs w:val="22"/>
          <w:lang w:eastAsia="ja-JP"/>
        </w:rPr>
        <w:t>,</w:t>
      </w:r>
      <w:r w:rsidR="00AA1A7A">
        <w:rPr>
          <w:rFonts w:ascii="Times New Roman" w:hAnsi="Times New Roman" w:cs="Times New Roman"/>
          <w:bCs w:val="0"/>
          <w:color w:val="000000"/>
          <w:sz w:val="22"/>
          <w:szCs w:val="22"/>
          <w:lang w:eastAsia="ja-JP"/>
        </w:rPr>
        <w:t xml:space="preserve"> </w:t>
      </w:r>
      <w:r w:rsidR="00CA23C5" w:rsidRPr="00CA23C5">
        <w:rPr>
          <w:rFonts w:ascii="Times New Roman" w:hAnsi="Times New Roman" w:cs="Times New Roman"/>
          <w:bCs w:val="0"/>
          <w:color w:val="000000"/>
          <w:sz w:val="22"/>
          <w:szCs w:val="22"/>
          <w:lang w:eastAsia="ja-JP"/>
        </w:rPr>
        <w:t xml:space="preserve">poor </w:t>
      </w:r>
      <w:r w:rsidR="008A4255">
        <w:rPr>
          <w:rFonts w:ascii="Times New Roman" w:hAnsi="Times New Roman" w:cs="Times New Roman"/>
          <w:bCs w:val="0"/>
          <w:color w:val="000000"/>
          <w:sz w:val="22"/>
          <w:szCs w:val="22"/>
          <w:lang w:eastAsia="ja-JP"/>
        </w:rPr>
        <w:t xml:space="preserve">AVMs that produce </w:t>
      </w:r>
      <w:r>
        <w:rPr>
          <w:rFonts w:ascii="Times New Roman" w:hAnsi="Times New Roman" w:cs="Times New Roman"/>
          <w:bCs w:val="0"/>
          <w:color w:val="000000"/>
          <w:sz w:val="22"/>
          <w:szCs w:val="22"/>
          <w:lang w:eastAsia="ja-JP"/>
        </w:rPr>
        <w:t xml:space="preserve">inaccurate valuations. </w:t>
      </w:r>
      <w:r w:rsidR="0029732A">
        <w:rPr>
          <w:rFonts w:ascii="Times New Roman" w:hAnsi="Times New Roman" w:cs="Times New Roman"/>
          <w:bCs w:val="0"/>
          <w:color w:val="000000"/>
          <w:sz w:val="22"/>
          <w:szCs w:val="22"/>
          <w:lang w:eastAsia="ja-JP"/>
        </w:rPr>
        <w:t>This is why test</w:t>
      </w:r>
      <w:r w:rsidR="002C4281">
        <w:rPr>
          <w:rFonts w:ascii="Times New Roman" w:hAnsi="Times New Roman" w:cs="Times New Roman"/>
          <w:bCs w:val="0"/>
          <w:color w:val="000000"/>
          <w:sz w:val="22"/>
          <w:szCs w:val="22"/>
          <w:lang w:eastAsia="ja-JP"/>
        </w:rPr>
        <w:t>ing</w:t>
      </w:r>
      <w:r w:rsidR="0029732A">
        <w:rPr>
          <w:rFonts w:ascii="Times New Roman" w:hAnsi="Times New Roman" w:cs="Times New Roman"/>
          <w:bCs w:val="0"/>
          <w:color w:val="000000"/>
          <w:sz w:val="22"/>
          <w:szCs w:val="22"/>
          <w:lang w:eastAsia="ja-JP"/>
        </w:rPr>
        <w:t xml:space="preserve"> AVMs for accuracy</w:t>
      </w:r>
      <w:r w:rsidR="002C4281">
        <w:rPr>
          <w:rFonts w:ascii="Times New Roman" w:hAnsi="Times New Roman" w:cs="Times New Roman"/>
          <w:bCs w:val="0"/>
          <w:color w:val="000000"/>
          <w:sz w:val="22"/>
          <w:szCs w:val="22"/>
          <w:lang w:eastAsia="ja-JP"/>
        </w:rPr>
        <w:t>,</w:t>
      </w:r>
      <w:r w:rsidR="0029732A">
        <w:rPr>
          <w:rFonts w:ascii="Times New Roman" w:hAnsi="Times New Roman" w:cs="Times New Roman"/>
          <w:bCs w:val="0"/>
          <w:color w:val="000000"/>
          <w:sz w:val="22"/>
          <w:szCs w:val="22"/>
          <w:lang w:eastAsia="ja-JP"/>
        </w:rPr>
        <w:t xml:space="preserve"> precision and </w:t>
      </w:r>
      <w:r w:rsidR="002C4281">
        <w:rPr>
          <w:rFonts w:ascii="Times New Roman" w:hAnsi="Times New Roman" w:cs="Times New Roman"/>
          <w:bCs w:val="0"/>
          <w:color w:val="000000"/>
          <w:sz w:val="22"/>
          <w:szCs w:val="22"/>
          <w:lang w:eastAsia="ja-JP"/>
        </w:rPr>
        <w:t xml:space="preserve">error is necessary. </w:t>
      </w:r>
      <w:r w:rsidR="00024CE6">
        <w:rPr>
          <w:rFonts w:ascii="Times New Roman" w:hAnsi="Times New Roman" w:cs="Times New Roman"/>
          <w:bCs w:val="0"/>
          <w:color w:val="000000"/>
          <w:sz w:val="22"/>
          <w:szCs w:val="22"/>
          <w:lang w:eastAsia="ja-JP"/>
        </w:rPr>
        <w:t>We recommend u</w:t>
      </w:r>
      <w:r w:rsidR="002C4281">
        <w:rPr>
          <w:rFonts w:ascii="Times New Roman" w:hAnsi="Times New Roman" w:cs="Times New Roman"/>
          <w:bCs w:val="0"/>
          <w:color w:val="000000"/>
          <w:sz w:val="22"/>
          <w:szCs w:val="22"/>
          <w:lang w:eastAsia="ja-JP"/>
        </w:rPr>
        <w:t xml:space="preserve">sing </w:t>
      </w:r>
      <w:r w:rsidR="0029732A">
        <w:rPr>
          <w:rFonts w:ascii="Times New Roman" w:hAnsi="Times New Roman" w:cs="Times New Roman"/>
          <w:bCs w:val="0"/>
          <w:color w:val="000000"/>
          <w:sz w:val="22"/>
          <w:szCs w:val="22"/>
          <w:lang w:eastAsia="ja-JP"/>
        </w:rPr>
        <w:t xml:space="preserve">AVMs that are proven </w:t>
      </w:r>
      <w:r w:rsidR="00CE4F5C">
        <w:rPr>
          <w:rFonts w:ascii="Times New Roman" w:hAnsi="Times New Roman" w:cs="Times New Roman"/>
          <w:bCs w:val="0"/>
          <w:color w:val="000000"/>
          <w:sz w:val="22"/>
          <w:szCs w:val="22"/>
          <w:lang w:eastAsia="ja-JP"/>
        </w:rPr>
        <w:t xml:space="preserve">to meet predefined criteria </w:t>
      </w:r>
      <w:r w:rsidR="0029732A">
        <w:rPr>
          <w:rFonts w:ascii="Times New Roman" w:hAnsi="Times New Roman" w:cs="Times New Roman"/>
          <w:bCs w:val="0"/>
          <w:color w:val="000000"/>
          <w:sz w:val="22"/>
          <w:szCs w:val="22"/>
          <w:lang w:eastAsia="ja-JP"/>
        </w:rPr>
        <w:t xml:space="preserve">through independent testing </w:t>
      </w:r>
      <w:r w:rsidR="00CE4F5C">
        <w:rPr>
          <w:rFonts w:ascii="Times New Roman" w:hAnsi="Times New Roman" w:cs="Times New Roman"/>
          <w:bCs w:val="0"/>
          <w:color w:val="000000"/>
          <w:sz w:val="22"/>
          <w:szCs w:val="22"/>
          <w:lang w:eastAsia="ja-JP"/>
        </w:rPr>
        <w:t xml:space="preserve">and </w:t>
      </w:r>
      <w:r w:rsidR="00024CE6">
        <w:rPr>
          <w:rFonts w:ascii="Times New Roman" w:hAnsi="Times New Roman" w:cs="Times New Roman"/>
          <w:bCs w:val="0"/>
          <w:color w:val="000000"/>
          <w:sz w:val="22"/>
          <w:szCs w:val="22"/>
          <w:lang w:eastAsia="ja-JP"/>
        </w:rPr>
        <w:t>are</w:t>
      </w:r>
      <w:r w:rsidR="0029732A">
        <w:rPr>
          <w:rFonts w:ascii="Times New Roman" w:hAnsi="Times New Roman" w:cs="Times New Roman"/>
          <w:bCs w:val="0"/>
          <w:color w:val="000000"/>
          <w:sz w:val="22"/>
          <w:szCs w:val="22"/>
          <w:lang w:eastAsia="ja-JP"/>
        </w:rPr>
        <w:t xml:space="preserve"> appropriate to the </w:t>
      </w:r>
      <w:r w:rsidR="00CE4F5C">
        <w:rPr>
          <w:rFonts w:ascii="Times New Roman" w:hAnsi="Times New Roman" w:cs="Times New Roman"/>
          <w:bCs w:val="0"/>
          <w:color w:val="000000"/>
          <w:sz w:val="22"/>
          <w:szCs w:val="22"/>
          <w:lang w:eastAsia="ja-JP"/>
        </w:rPr>
        <w:t>assignment</w:t>
      </w:r>
      <w:r w:rsidR="0029732A">
        <w:rPr>
          <w:rFonts w:ascii="Times New Roman" w:hAnsi="Times New Roman" w:cs="Times New Roman"/>
          <w:bCs w:val="0"/>
          <w:color w:val="000000"/>
          <w:sz w:val="22"/>
          <w:szCs w:val="22"/>
          <w:lang w:eastAsia="ja-JP"/>
        </w:rPr>
        <w:t>.</w:t>
      </w:r>
      <w:r w:rsidR="00D6551A">
        <w:rPr>
          <w:rFonts w:ascii="Times New Roman" w:hAnsi="Times New Roman" w:cs="Times New Roman"/>
          <w:bCs w:val="0"/>
          <w:color w:val="000000"/>
          <w:sz w:val="22"/>
          <w:szCs w:val="22"/>
          <w:lang w:eastAsia="ja-JP"/>
        </w:rPr>
        <w:t xml:space="preserve"> </w:t>
      </w:r>
    </w:p>
    <w:p w14:paraId="0732BBDD" w14:textId="36FD1078" w:rsidR="00675433" w:rsidRDefault="00D60C5F" w:rsidP="008E4CCE">
      <w:pPr>
        <w:pStyle w:val="Closing"/>
        <w:spacing w:before="360" w:after="480"/>
        <w:rPr>
          <w:rFonts w:ascii="Times New Roman" w:hAnsi="Times New Roman" w:cs="Times New Roman"/>
          <w:bCs w:val="0"/>
          <w:color w:val="000000"/>
          <w:sz w:val="22"/>
          <w:szCs w:val="22"/>
          <w:lang w:eastAsia="ja-JP"/>
        </w:rPr>
      </w:pPr>
      <w:r>
        <w:rPr>
          <w:rFonts w:ascii="Times New Roman" w:hAnsi="Times New Roman" w:cs="Times New Roman"/>
          <w:bCs w:val="0"/>
          <w:i/>
          <w:iCs/>
          <w:color w:val="000000"/>
          <w:sz w:val="22"/>
          <w:szCs w:val="22"/>
          <w:lang w:eastAsia="ja-JP"/>
        </w:rPr>
        <w:t>Exhibit</w:t>
      </w:r>
      <w:r w:rsidRPr="004D73AB">
        <w:rPr>
          <w:rFonts w:ascii="Times New Roman" w:hAnsi="Times New Roman" w:cs="Times New Roman"/>
          <w:bCs w:val="0"/>
          <w:i/>
          <w:iCs/>
          <w:color w:val="000000"/>
          <w:sz w:val="22"/>
          <w:szCs w:val="22"/>
          <w:lang w:eastAsia="ja-JP"/>
        </w:rPr>
        <w:t xml:space="preserve"> </w:t>
      </w:r>
      <w:r w:rsidR="00DF3105">
        <w:rPr>
          <w:rFonts w:ascii="Times New Roman" w:hAnsi="Times New Roman" w:cs="Times New Roman"/>
          <w:bCs w:val="0"/>
          <w:i/>
          <w:iCs/>
          <w:color w:val="000000"/>
          <w:sz w:val="22"/>
          <w:szCs w:val="22"/>
          <w:lang w:eastAsia="ja-JP"/>
        </w:rPr>
        <w:t>2</w:t>
      </w:r>
      <w:r w:rsidR="00675433">
        <w:rPr>
          <w:rFonts w:ascii="Times New Roman" w:hAnsi="Times New Roman" w:cs="Times New Roman"/>
          <w:bCs w:val="0"/>
          <w:color w:val="000000"/>
          <w:sz w:val="22"/>
          <w:szCs w:val="22"/>
          <w:lang w:eastAsia="ja-JP"/>
        </w:rPr>
        <w:t xml:space="preserve"> </w:t>
      </w:r>
      <w:r>
        <w:rPr>
          <w:rFonts w:ascii="Times New Roman" w:hAnsi="Times New Roman" w:cs="Times New Roman"/>
          <w:bCs w:val="0"/>
          <w:color w:val="000000"/>
          <w:sz w:val="22"/>
          <w:szCs w:val="22"/>
          <w:lang w:eastAsia="ja-JP"/>
        </w:rPr>
        <w:t xml:space="preserve">(attached) </w:t>
      </w:r>
      <w:r w:rsidR="00675433">
        <w:rPr>
          <w:rFonts w:ascii="Times New Roman" w:hAnsi="Times New Roman" w:cs="Times New Roman"/>
          <w:bCs w:val="0"/>
          <w:color w:val="000000"/>
          <w:sz w:val="22"/>
          <w:szCs w:val="22"/>
          <w:lang w:eastAsia="ja-JP"/>
        </w:rPr>
        <w:t>shows an example of an acceptability analysis that an AVM user might perform. Our scoring methodology evaluates AVM valuations in batches based on their FSD. As expected, in this example lower FSD valuations perform better. A conservative AVM user might establish a cutoff of FSD &lt;= 12 (the green area), which yields &gt;75% usability with a weighted average MAE of 5.3% (Mean Absolute Error).  A cutoff of 12 also yields a weighted average PPE10 of 87.9% (i.e., almost 90% of valuation predictions will be within +/-10% of the benchmark value), and a weighted average PPE&gt;20% of 2.9% (i.e., less than 35 of valuation predictions will have an overvaluation potential of &gt;20%).</w:t>
      </w:r>
      <w:r w:rsidR="00EE3B02">
        <w:rPr>
          <w:rStyle w:val="FootnoteReference"/>
          <w:rFonts w:ascii="Times New Roman" w:hAnsi="Times New Roman" w:cs="Times New Roman"/>
          <w:bCs w:val="0"/>
          <w:color w:val="000000"/>
          <w:sz w:val="22"/>
          <w:szCs w:val="22"/>
          <w:lang w:eastAsia="ja-JP"/>
        </w:rPr>
        <w:footnoteReference w:id="4"/>
      </w:r>
      <w:r w:rsidR="00675433">
        <w:rPr>
          <w:rFonts w:ascii="Times New Roman" w:hAnsi="Times New Roman" w:cs="Times New Roman"/>
          <w:bCs w:val="0"/>
          <w:color w:val="000000"/>
          <w:sz w:val="22"/>
          <w:szCs w:val="22"/>
          <w:lang w:eastAsia="ja-JP"/>
        </w:rPr>
        <w:t xml:space="preserve"> </w:t>
      </w:r>
    </w:p>
    <w:p w14:paraId="11BD6D69" w14:textId="071D3100" w:rsidR="008A4255" w:rsidRDefault="008A4255" w:rsidP="008E4CCE">
      <w:pPr>
        <w:pStyle w:val="Closing"/>
        <w:spacing w:before="360" w:after="480"/>
        <w:rPr>
          <w:rFonts w:ascii="Times New Roman" w:hAnsi="Times New Roman" w:cs="Times New Roman"/>
          <w:bCs w:val="0"/>
          <w:color w:val="000000"/>
          <w:sz w:val="22"/>
          <w:szCs w:val="22"/>
          <w:lang w:eastAsia="ja-JP"/>
        </w:rPr>
      </w:pPr>
      <w:r>
        <w:rPr>
          <w:rFonts w:ascii="Times New Roman" w:hAnsi="Times New Roman" w:cs="Times New Roman"/>
          <w:bCs w:val="0"/>
          <w:color w:val="000000"/>
          <w:sz w:val="22"/>
          <w:szCs w:val="22"/>
          <w:lang w:eastAsia="ja-JP"/>
        </w:rPr>
        <w:t xml:space="preserve">However, our research </w:t>
      </w:r>
      <w:r w:rsidR="00AA1A7A">
        <w:rPr>
          <w:rFonts w:ascii="Times New Roman" w:hAnsi="Times New Roman" w:cs="Times New Roman"/>
          <w:bCs w:val="0"/>
          <w:color w:val="000000"/>
          <w:sz w:val="22"/>
          <w:szCs w:val="22"/>
          <w:lang w:eastAsia="ja-JP"/>
        </w:rPr>
        <w:t xml:space="preserve">spanning more than a decade </w:t>
      </w:r>
      <w:r>
        <w:rPr>
          <w:rFonts w:ascii="Times New Roman" w:hAnsi="Times New Roman" w:cs="Times New Roman"/>
          <w:bCs w:val="0"/>
          <w:color w:val="000000"/>
          <w:sz w:val="22"/>
          <w:szCs w:val="22"/>
          <w:lang w:eastAsia="ja-JP"/>
        </w:rPr>
        <w:t xml:space="preserve">shows that even </w:t>
      </w:r>
      <w:r w:rsidR="00CE4F5C">
        <w:rPr>
          <w:rFonts w:ascii="Times New Roman" w:hAnsi="Times New Roman" w:cs="Times New Roman"/>
          <w:bCs w:val="0"/>
          <w:color w:val="000000"/>
          <w:sz w:val="22"/>
          <w:szCs w:val="22"/>
          <w:lang w:eastAsia="ja-JP"/>
        </w:rPr>
        <w:t xml:space="preserve">overall </w:t>
      </w:r>
      <w:r>
        <w:rPr>
          <w:rFonts w:ascii="Times New Roman" w:hAnsi="Times New Roman" w:cs="Times New Roman"/>
          <w:bCs w:val="0"/>
          <w:color w:val="000000"/>
          <w:sz w:val="22"/>
          <w:szCs w:val="22"/>
          <w:lang w:eastAsia="ja-JP"/>
        </w:rPr>
        <w:t>good</w:t>
      </w:r>
      <w:r w:rsidR="00024CE6">
        <w:rPr>
          <w:rFonts w:ascii="Times New Roman" w:hAnsi="Times New Roman" w:cs="Times New Roman"/>
          <w:bCs w:val="0"/>
          <w:color w:val="000000"/>
          <w:sz w:val="22"/>
          <w:szCs w:val="22"/>
          <w:lang w:eastAsia="ja-JP"/>
        </w:rPr>
        <w:t>-</w:t>
      </w:r>
      <w:r w:rsidR="00CE4F5C">
        <w:rPr>
          <w:rFonts w:ascii="Times New Roman" w:hAnsi="Times New Roman" w:cs="Times New Roman"/>
          <w:bCs w:val="0"/>
          <w:color w:val="000000"/>
          <w:sz w:val="22"/>
          <w:szCs w:val="22"/>
          <w:lang w:eastAsia="ja-JP"/>
        </w:rPr>
        <w:t xml:space="preserve">preforming </w:t>
      </w:r>
      <w:r>
        <w:rPr>
          <w:rFonts w:ascii="Times New Roman" w:hAnsi="Times New Roman" w:cs="Times New Roman"/>
          <w:bCs w:val="0"/>
          <w:color w:val="000000"/>
          <w:sz w:val="22"/>
          <w:szCs w:val="22"/>
          <w:lang w:eastAsia="ja-JP"/>
        </w:rPr>
        <w:t xml:space="preserve">models are less reliable in certain circumstances, so </w:t>
      </w:r>
      <w:r w:rsidR="00CE4F5C">
        <w:rPr>
          <w:rFonts w:ascii="Times New Roman" w:hAnsi="Times New Roman" w:cs="Times New Roman"/>
          <w:bCs w:val="0"/>
          <w:color w:val="000000"/>
          <w:sz w:val="22"/>
          <w:szCs w:val="22"/>
          <w:lang w:eastAsia="ja-JP"/>
        </w:rPr>
        <w:t xml:space="preserve">one of </w:t>
      </w:r>
      <w:r>
        <w:rPr>
          <w:rFonts w:ascii="Times New Roman" w:hAnsi="Times New Roman" w:cs="Times New Roman"/>
          <w:bCs w:val="0"/>
          <w:color w:val="000000"/>
          <w:sz w:val="22"/>
          <w:szCs w:val="22"/>
          <w:lang w:eastAsia="ja-JP"/>
        </w:rPr>
        <w:t>t</w:t>
      </w:r>
      <w:r w:rsidR="00E029C6">
        <w:rPr>
          <w:rFonts w:ascii="Times New Roman" w:hAnsi="Times New Roman" w:cs="Times New Roman"/>
          <w:bCs w:val="0"/>
          <w:color w:val="000000"/>
          <w:sz w:val="22"/>
          <w:szCs w:val="22"/>
          <w:lang w:eastAsia="ja-JP"/>
        </w:rPr>
        <w:t>he less obvious risk</w:t>
      </w:r>
      <w:r w:rsidR="00CE4F5C">
        <w:rPr>
          <w:rFonts w:ascii="Times New Roman" w:hAnsi="Times New Roman" w:cs="Times New Roman"/>
          <w:bCs w:val="0"/>
          <w:color w:val="000000"/>
          <w:sz w:val="22"/>
          <w:szCs w:val="22"/>
          <w:lang w:eastAsia="ja-JP"/>
        </w:rPr>
        <w:t>s</w:t>
      </w:r>
      <w:r w:rsidR="00E029C6">
        <w:rPr>
          <w:rFonts w:ascii="Times New Roman" w:hAnsi="Times New Roman" w:cs="Times New Roman"/>
          <w:bCs w:val="0"/>
          <w:color w:val="000000"/>
          <w:sz w:val="22"/>
          <w:szCs w:val="22"/>
          <w:lang w:eastAsia="ja-JP"/>
        </w:rPr>
        <w:t xml:space="preserve"> </w:t>
      </w:r>
      <w:r>
        <w:rPr>
          <w:rFonts w:ascii="Times New Roman" w:hAnsi="Times New Roman" w:cs="Times New Roman"/>
          <w:bCs w:val="0"/>
          <w:color w:val="000000"/>
          <w:sz w:val="22"/>
          <w:szCs w:val="22"/>
          <w:lang w:eastAsia="ja-JP"/>
        </w:rPr>
        <w:t xml:space="preserve">that we would highlight </w:t>
      </w:r>
      <w:r w:rsidR="00E029C6">
        <w:rPr>
          <w:rFonts w:ascii="Times New Roman" w:hAnsi="Times New Roman" w:cs="Times New Roman"/>
          <w:bCs w:val="0"/>
          <w:color w:val="000000"/>
          <w:sz w:val="22"/>
          <w:szCs w:val="22"/>
          <w:lang w:eastAsia="ja-JP"/>
        </w:rPr>
        <w:t xml:space="preserve">is </w:t>
      </w:r>
      <w:r>
        <w:rPr>
          <w:rFonts w:ascii="Times New Roman" w:hAnsi="Times New Roman" w:cs="Times New Roman"/>
          <w:bCs w:val="0"/>
          <w:color w:val="000000"/>
          <w:sz w:val="22"/>
          <w:szCs w:val="22"/>
          <w:lang w:eastAsia="ja-JP"/>
        </w:rPr>
        <w:t xml:space="preserve">reliance </w:t>
      </w:r>
      <w:r w:rsidR="00E029C6">
        <w:rPr>
          <w:rFonts w:ascii="Times New Roman" w:hAnsi="Times New Roman" w:cs="Times New Roman"/>
          <w:bCs w:val="0"/>
          <w:color w:val="000000"/>
          <w:sz w:val="22"/>
          <w:szCs w:val="22"/>
          <w:lang w:eastAsia="ja-JP"/>
        </w:rPr>
        <w:t>on a “</w:t>
      </w:r>
      <w:r w:rsidR="00CA23C5" w:rsidRPr="00CA23C5">
        <w:rPr>
          <w:rFonts w:ascii="Times New Roman" w:hAnsi="Times New Roman" w:cs="Times New Roman"/>
          <w:bCs w:val="0"/>
          <w:color w:val="000000"/>
          <w:sz w:val="22"/>
          <w:szCs w:val="22"/>
          <w:lang w:eastAsia="ja-JP"/>
        </w:rPr>
        <w:t>good</w:t>
      </w:r>
      <w:r w:rsidR="00E029C6">
        <w:rPr>
          <w:rFonts w:ascii="Times New Roman" w:hAnsi="Times New Roman" w:cs="Times New Roman"/>
          <w:bCs w:val="0"/>
          <w:color w:val="000000"/>
          <w:sz w:val="22"/>
          <w:szCs w:val="22"/>
          <w:lang w:eastAsia="ja-JP"/>
        </w:rPr>
        <w:t>”</w:t>
      </w:r>
      <w:r w:rsidR="00CA23C5" w:rsidRPr="00CA23C5">
        <w:rPr>
          <w:rFonts w:ascii="Times New Roman" w:hAnsi="Times New Roman" w:cs="Times New Roman"/>
          <w:bCs w:val="0"/>
          <w:color w:val="000000"/>
          <w:sz w:val="22"/>
          <w:szCs w:val="22"/>
          <w:lang w:eastAsia="ja-JP"/>
        </w:rPr>
        <w:t xml:space="preserve"> model that </w:t>
      </w:r>
      <w:r w:rsidR="00E029C6">
        <w:rPr>
          <w:rFonts w:ascii="Times New Roman" w:hAnsi="Times New Roman" w:cs="Times New Roman"/>
          <w:bCs w:val="0"/>
          <w:color w:val="000000"/>
          <w:sz w:val="22"/>
          <w:szCs w:val="22"/>
          <w:lang w:eastAsia="ja-JP"/>
        </w:rPr>
        <w:t xml:space="preserve">is </w:t>
      </w:r>
      <w:r w:rsidR="00CA23C5" w:rsidRPr="00CA23C5">
        <w:rPr>
          <w:rFonts w:ascii="Times New Roman" w:hAnsi="Times New Roman" w:cs="Times New Roman"/>
          <w:bCs w:val="0"/>
          <w:color w:val="000000"/>
          <w:sz w:val="22"/>
          <w:szCs w:val="22"/>
          <w:lang w:eastAsia="ja-JP"/>
        </w:rPr>
        <w:t xml:space="preserve">poor </w:t>
      </w:r>
      <w:r w:rsidR="00E029C6">
        <w:rPr>
          <w:rFonts w:ascii="Times New Roman" w:hAnsi="Times New Roman" w:cs="Times New Roman"/>
          <w:bCs w:val="0"/>
          <w:color w:val="000000"/>
          <w:sz w:val="22"/>
          <w:szCs w:val="22"/>
          <w:lang w:eastAsia="ja-JP"/>
        </w:rPr>
        <w:t xml:space="preserve">in a </w:t>
      </w:r>
      <w:r w:rsidR="00CA23C5" w:rsidRPr="00CA23C5">
        <w:rPr>
          <w:rFonts w:ascii="Times New Roman" w:hAnsi="Times New Roman" w:cs="Times New Roman"/>
          <w:bCs w:val="0"/>
          <w:color w:val="000000"/>
          <w:sz w:val="22"/>
          <w:szCs w:val="22"/>
          <w:lang w:eastAsia="ja-JP"/>
        </w:rPr>
        <w:t xml:space="preserve">specific </w:t>
      </w:r>
      <w:r w:rsidR="00E029C6">
        <w:rPr>
          <w:rFonts w:ascii="Times New Roman" w:hAnsi="Times New Roman" w:cs="Times New Roman"/>
          <w:bCs w:val="0"/>
          <w:color w:val="000000"/>
          <w:sz w:val="22"/>
          <w:szCs w:val="22"/>
          <w:lang w:eastAsia="ja-JP"/>
        </w:rPr>
        <w:t>geography</w:t>
      </w:r>
      <w:r w:rsidR="00CA23C5" w:rsidRPr="00CA23C5">
        <w:rPr>
          <w:rFonts w:ascii="Times New Roman" w:hAnsi="Times New Roman" w:cs="Times New Roman"/>
          <w:bCs w:val="0"/>
          <w:color w:val="000000"/>
          <w:sz w:val="22"/>
          <w:szCs w:val="22"/>
          <w:lang w:eastAsia="ja-JP"/>
        </w:rPr>
        <w:t>, price level or property type</w:t>
      </w:r>
      <w:r w:rsidR="00EB276B">
        <w:rPr>
          <w:rFonts w:ascii="Times New Roman" w:hAnsi="Times New Roman" w:cs="Times New Roman"/>
          <w:bCs w:val="0"/>
          <w:color w:val="000000"/>
          <w:sz w:val="22"/>
          <w:szCs w:val="22"/>
          <w:lang w:eastAsia="ja-JP"/>
        </w:rPr>
        <w:t xml:space="preserve">. </w:t>
      </w:r>
      <w:r w:rsidR="00024CE6">
        <w:rPr>
          <w:rFonts w:ascii="Times New Roman" w:hAnsi="Times New Roman" w:cs="Times New Roman"/>
          <w:bCs w:val="0"/>
          <w:color w:val="000000"/>
          <w:sz w:val="22"/>
          <w:szCs w:val="22"/>
          <w:lang w:eastAsia="ja-JP"/>
        </w:rPr>
        <w:t xml:space="preserve">Models should be tested in each one of these subcategories in order to assess their reliability and risk profile. </w:t>
      </w:r>
      <w:r w:rsidR="00CE4F5C">
        <w:rPr>
          <w:rFonts w:ascii="Times New Roman" w:hAnsi="Times New Roman" w:cs="Times New Roman"/>
          <w:bCs w:val="0"/>
          <w:color w:val="000000"/>
          <w:sz w:val="22"/>
          <w:szCs w:val="22"/>
          <w:lang w:eastAsia="ja-JP"/>
        </w:rPr>
        <w:t xml:space="preserve"> </w:t>
      </w:r>
    </w:p>
    <w:p w14:paraId="0AD5BF3D" w14:textId="19B67EB1" w:rsidR="00CA23C5" w:rsidRDefault="00CA23C5" w:rsidP="008E4CCE">
      <w:pPr>
        <w:pStyle w:val="Closing"/>
        <w:spacing w:before="360" w:after="480"/>
        <w:rPr>
          <w:rFonts w:ascii="Times New Roman" w:hAnsi="Times New Roman" w:cs="Times New Roman"/>
          <w:bCs w:val="0"/>
          <w:color w:val="000000"/>
          <w:sz w:val="22"/>
          <w:szCs w:val="22"/>
          <w:lang w:eastAsia="ja-JP"/>
        </w:rPr>
      </w:pPr>
      <w:r w:rsidRPr="00CA23C5">
        <w:rPr>
          <w:rFonts w:ascii="Times New Roman" w:hAnsi="Times New Roman" w:cs="Times New Roman"/>
          <w:bCs w:val="0"/>
          <w:color w:val="000000"/>
          <w:sz w:val="22"/>
          <w:szCs w:val="22"/>
          <w:lang w:eastAsia="ja-JP"/>
        </w:rPr>
        <w:lastRenderedPageBreak/>
        <w:t xml:space="preserve">Identifying "reliable models" isn't straightforward. Performance varies over time as conditions change and models are tweaked. Performance </w:t>
      </w:r>
      <w:r w:rsidR="00AA1A7A">
        <w:rPr>
          <w:rFonts w:ascii="Times New Roman" w:hAnsi="Times New Roman" w:cs="Times New Roman"/>
          <w:bCs w:val="0"/>
          <w:color w:val="000000"/>
          <w:sz w:val="22"/>
          <w:szCs w:val="22"/>
          <w:lang w:eastAsia="ja-JP"/>
        </w:rPr>
        <w:t xml:space="preserve">also </w:t>
      </w:r>
      <w:r w:rsidRPr="00CA23C5">
        <w:rPr>
          <w:rFonts w:ascii="Times New Roman" w:hAnsi="Times New Roman" w:cs="Times New Roman"/>
          <w:bCs w:val="0"/>
          <w:color w:val="000000"/>
          <w:sz w:val="22"/>
          <w:szCs w:val="22"/>
          <w:lang w:eastAsia="ja-JP"/>
        </w:rPr>
        <w:t>varies between locations, so a model that</w:t>
      </w:r>
      <w:r w:rsidR="00024CE6">
        <w:rPr>
          <w:rFonts w:ascii="Times New Roman" w:hAnsi="Times New Roman" w:cs="Times New Roman"/>
          <w:bCs w:val="0"/>
          <w:color w:val="000000"/>
          <w:sz w:val="22"/>
          <w:szCs w:val="22"/>
          <w:lang w:eastAsia="ja-JP"/>
        </w:rPr>
        <w:t xml:space="preserve"> is</w:t>
      </w:r>
      <w:r w:rsidRPr="00CA23C5">
        <w:rPr>
          <w:rFonts w:ascii="Times New Roman" w:hAnsi="Times New Roman" w:cs="Times New Roman"/>
          <w:bCs w:val="0"/>
          <w:color w:val="000000"/>
          <w:sz w:val="22"/>
          <w:szCs w:val="22"/>
          <w:lang w:eastAsia="ja-JP"/>
        </w:rPr>
        <w:t xml:space="preserve"> extremely reliable overall may not be effective in a specific region. Furthermore, models that are effective overall may not be effective at all price levels, </w:t>
      </w:r>
      <w:r w:rsidR="00615B84">
        <w:rPr>
          <w:rFonts w:ascii="Times New Roman" w:hAnsi="Times New Roman" w:cs="Times New Roman"/>
          <w:bCs w:val="0"/>
          <w:color w:val="000000"/>
          <w:sz w:val="22"/>
          <w:szCs w:val="22"/>
          <w:lang w:eastAsia="ja-JP"/>
        </w:rPr>
        <w:t>for example:</w:t>
      </w:r>
      <w:r w:rsidR="00615B84" w:rsidRPr="00CA23C5">
        <w:rPr>
          <w:rFonts w:ascii="Times New Roman" w:hAnsi="Times New Roman" w:cs="Times New Roman"/>
          <w:bCs w:val="0"/>
          <w:color w:val="000000"/>
          <w:sz w:val="22"/>
          <w:szCs w:val="22"/>
          <w:lang w:eastAsia="ja-JP"/>
        </w:rPr>
        <w:t xml:space="preserve"> </w:t>
      </w:r>
      <w:r w:rsidRPr="00CA23C5">
        <w:rPr>
          <w:rFonts w:ascii="Times New Roman" w:hAnsi="Times New Roman" w:cs="Times New Roman"/>
          <w:bCs w:val="0"/>
          <w:color w:val="000000"/>
          <w:sz w:val="22"/>
          <w:szCs w:val="22"/>
          <w:lang w:eastAsia="ja-JP"/>
        </w:rPr>
        <w:t xml:space="preserve">low-priced entry-level homes or high-priced homes. Finally, very effective models will also produce estimates that they admit have lower confidence scores (and higher FSDs), and which should in all prudence be avoided, but </w:t>
      </w:r>
      <w:r w:rsidR="00AA1A7A">
        <w:rPr>
          <w:rFonts w:ascii="Times New Roman" w:hAnsi="Times New Roman" w:cs="Times New Roman"/>
          <w:bCs w:val="0"/>
          <w:color w:val="000000"/>
          <w:sz w:val="22"/>
          <w:szCs w:val="22"/>
          <w:lang w:eastAsia="ja-JP"/>
        </w:rPr>
        <w:t xml:space="preserve">without adequate testing and understanding </w:t>
      </w:r>
      <w:r w:rsidRPr="00CA23C5">
        <w:rPr>
          <w:rFonts w:ascii="Times New Roman" w:hAnsi="Times New Roman" w:cs="Times New Roman"/>
          <w:bCs w:val="0"/>
          <w:color w:val="000000"/>
          <w:sz w:val="22"/>
          <w:szCs w:val="22"/>
          <w:lang w:eastAsia="ja-JP"/>
        </w:rPr>
        <w:t xml:space="preserve">may be </w:t>
      </w:r>
      <w:r w:rsidR="00AA1A7A">
        <w:rPr>
          <w:rFonts w:ascii="Times New Roman" w:hAnsi="Times New Roman" w:cs="Times New Roman"/>
          <w:bCs w:val="0"/>
          <w:color w:val="000000"/>
          <w:sz w:val="22"/>
          <w:szCs w:val="22"/>
          <w:lang w:eastAsia="ja-JP"/>
        </w:rPr>
        <w:t xml:space="preserve">inadvertently </w:t>
      </w:r>
      <w:r w:rsidRPr="00CA23C5">
        <w:rPr>
          <w:rFonts w:ascii="Times New Roman" w:hAnsi="Times New Roman" w:cs="Times New Roman"/>
          <w:bCs w:val="0"/>
          <w:color w:val="000000"/>
          <w:sz w:val="22"/>
          <w:szCs w:val="22"/>
          <w:lang w:eastAsia="ja-JP"/>
        </w:rPr>
        <w:t>relied upon</w:t>
      </w:r>
      <w:r w:rsidR="00AA1A7A">
        <w:rPr>
          <w:rFonts w:ascii="Times New Roman" w:hAnsi="Times New Roman" w:cs="Times New Roman"/>
          <w:bCs w:val="0"/>
          <w:color w:val="000000"/>
          <w:sz w:val="22"/>
          <w:szCs w:val="22"/>
          <w:lang w:eastAsia="ja-JP"/>
        </w:rPr>
        <w:t>. Proper testing and controls can mitigate this problem</w:t>
      </w:r>
      <w:r w:rsidRPr="00CA23C5">
        <w:rPr>
          <w:rFonts w:ascii="Times New Roman" w:hAnsi="Times New Roman" w:cs="Times New Roman"/>
          <w:bCs w:val="0"/>
          <w:color w:val="000000"/>
          <w:sz w:val="22"/>
          <w:szCs w:val="22"/>
          <w:lang w:eastAsia="ja-JP"/>
        </w:rPr>
        <w:t>.</w:t>
      </w:r>
    </w:p>
    <w:p w14:paraId="37C62B29" w14:textId="7142510D" w:rsidR="00697D9D" w:rsidRDefault="009E7740" w:rsidP="00697D9D">
      <w:pPr>
        <w:pStyle w:val="Closing"/>
        <w:spacing w:before="360" w:after="480"/>
        <w:rPr>
          <w:rFonts w:ascii="Times New Roman" w:hAnsi="Times New Roman" w:cs="Times New Roman"/>
          <w:bCs w:val="0"/>
          <w:color w:val="000000"/>
          <w:sz w:val="22"/>
          <w:szCs w:val="22"/>
          <w:lang w:eastAsia="ja-JP"/>
        </w:rPr>
      </w:pPr>
      <w:hyperlink r:id="rId10" w:history="1">
        <w:r w:rsidR="00697D9D" w:rsidRPr="00697D9D">
          <w:rPr>
            <w:rStyle w:val="Hyperlink"/>
            <w:rFonts w:ascii="Times New Roman" w:hAnsi="Times New Roman" w:cs="Times New Roman"/>
            <w:bCs w:val="0"/>
            <w:sz w:val="22"/>
            <w:szCs w:val="22"/>
            <w:lang w:eastAsia="ja-JP"/>
          </w:rPr>
          <w:t>In a July 2020 article on the effectiveness of confidence scores</w:t>
        </w:r>
      </w:hyperlink>
      <w:r w:rsidR="00A17DE4">
        <w:rPr>
          <w:rStyle w:val="FootnoteReference"/>
          <w:rFonts w:ascii="Times New Roman" w:hAnsi="Times New Roman" w:cs="Times New Roman"/>
          <w:bCs w:val="0"/>
          <w:color w:val="000000"/>
          <w:sz w:val="22"/>
          <w:szCs w:val="22"/>
          <w:lang w:eastAsia="ja-JP"/>
        </w:rPr>
        <w:footnoteReference w:id="5"/>
      </w:r>
      <w:r w:rsidR="00697D9D">
        <w:rPr>
          <w:rFonts w:ascii="Times New Roman" w:hAnsi="Times New Roman" w:cs="Times New Roman"/>
          <w:bCs w:val="0"/>
          <w:color w:val="000000"/>
          <w:sz w:val="22"/>
          <w:szCs w:val="22"/>
          <w:lang w:eastAsia="ja-JP"/>
        </w:rPr>
        <w:t xml:space="preserve">, we showed </w:t>
      </w:r>
      <w:r w:rsidR="00BB4D3B">
        <w:rPr>
          <w:rFonts w:ascii="Times New Roman" w:hAnsi="Times New Roman" w:cs="Times New Roman"/>
          <w:bCs w:val="0"/>
          <w:color w:val="000000"/>
          <w:sz w:val="22"/>
          <w:szCs w:val="22"/>
          <w:lang w:eastAsia="ja-JP"/>
        </w:rPr>
        <w:t>that high-performing, commercial-grade</w:t>
      </w:r>
      <w:r w:rsidR="00697D9D">
        <w:rPr>
          <w:rFonts w:ascii="Times New Roman" w:hAnsi="Times New Roman" w:cs="Times New Roman"/>
          <w:bCs w:val="0"/>
          <w:color w:val="000000"/>
          <w:sz w:val="22"/>
          <w:szCs w:val="22"/>
          <w:lang w:eastAsia="ja-JP"/>
        </w:rPr>
        <w:t xml:space="preserve"> AVMs can still produce </w:t>
      </w:r>
      <w:r w:rsidR="00A17DE4">
        <w:rPr>
          <w:rFonts w:ascii="Times New Roman" w:hAnsi="Times New Roman" w:cs="Times New Roman"/>
          <w:bCs w:val="0"/>
          <w:color w:val="000000"/>
          <w:sz w:val="22"/>
          <w:szCs w:val="22"/>
          <w:lang w:eastAsia="ja-JP"/>
        </w:rPr>
        <w:t xml:space="preserve">substantial </w:t>
      </w:r>
      <w:r w:rsidR="00697D9D">
        <w:rPr>
          <w:rFonts w:ascii="Times New Roman" w:hAnsi="Times New Roman" w:cs="Times New Roman"/>
          <w:bCs w:val="0"/>
          <w:color w:val="000000"/>
          <w:sz w:val="22"/>
          <w:szCs w:val="22"/>
          <w:lang w:eastAsia="ja-JP"/>
        </w:rPr>
        <w:t>over-valu</w:t>
      </w:r>
      <w:r w:rsidR="00A17DE4">
        <w:rPr>
          <w:rFonts w:ascii="Times New Roman" w:hAnsi="Times New Roman" w:cs="Times New Roman"/>
          <w:bCs w:val="0"/>
          <w:color w:val="000000"/>
          <w:sz w:val="22"/>
          <w:szCs w:val="22"/>
          <w:lang w:eastAsia="ja-JP"/>
        </w:rPr>
        <w:t xml:space="preserve">ations. 3% of the valuations provided by one of the best AVMs had very low confidence scores, and almost one-third those valuations exceeded the benchmark </w:t>
      </w:r>
      <w:r w:rsidR="004038E3">
        <w:rPr>
          <w:rFonts w:ascii="Times New Roman" w:hAnsi="Times New Roman" w:cs="Times New Roman"/>
          <w:bCs w:val="0"/>
          <w:color w:val="000000"/>
          <w:sz w:val="22"/>
          <w:szCs w:val="22"/>
          <w:lang w:eastAsia="ja-JP"/>
        </w:rPr>
        <w:t xml:space="preserve">value </w:t>
      </w:r>
      <w:r w:rsidR="00A17DE4">
        <w:rPr>
          <w:rFonts w:ascii="Times New Roman" w:hAnsi="Times New Roman" w:cs="Times New Roman"/>
          <w:bCs w:val="0"/>
          <w:color w:val="000000"/>
          <w:sz w:val="22"/>
          <w:szCs w:val="22"/>
          <w:lang w:eastAsia="ja-JP"/>
        </w:rPr>
        <w:t xml:space="preserve">by </w:t>
      </w:r>
      <w:r w:rsidR="00697D9D">
        <w:rPr>
          <w:rFonts w:ascii="Times New Roman" w:hAnsi="Times New Roman" w:cs="Times New Roman"/>
          <w:bCs w:val="0"/>
          <w:color w:val="000000"/>
          <w:sz w:val="22"/>
          <w:szCs w:val="22"/>
          <w:lang w:eastAsia="ja-JP"/>
        </w:rPr>
        <w:t xml:space="preserve">20% or more. To the credit of the model developer, they identify the low confidence of the estimate, but the risks are that </w:t>
      </w:r>
      <w:r w:rsidR="00CE4F5C">
        <w:rPr>
          <w:rFonts w:ascii="Times New Roman" w:hAnsi="Times New Roman" w:cs="Times New Roman"/>
          <w:bCs w:val="0"/>
          <w:color w:val="000000"/>
          <w:sz w:val="22"/>
          <w:szCs w:val="22"/>
          <w:lang w:eastAsia="ja-JP"/>
        </w:rPr>
        <w:t xml:space="preserve">the GSE’s and other potential </w:t>
      </w:r>
      <w:r w:rsidR="00697D9D">
        <w:rPr>
          <w:rFonts w:ascii="Times New Roman" w:hAnsi="Times New Roman" w:cs="Times New Roman"/>
          <w:bCs w:val="0"/>
          <w:color w:val="000000"/>
          <w:sz w:val="22"/>
          <w:szCs w:val="22"/>
          <w:lang w:eastAsia="ja-JP"/>
        </w:rPr>
        <w:t xml:space="preserve">users may not have an option to use another </w:t>
      </w:r>
      <w:r w:rsidR="00A17DE4">
        <w:rPr>
          <w:rFonts w:ascii="Times New Roman" w:hAnsi="Times New Roman" w:cs="Times New Roman"/>
          <w:bCs w:val="0"/>
          <w:color w:val="000000"/>
          <w:sz w:val="22"/>
          <w:szCs w:val="22"/>
          <w:lang w:eastAsia="ja-JP"/>
        </w:rPr>
        <w:t>AVM</w:t>
      </w:r>
      <w:r w:rsidR="00697D9D">
        <w:rPr>
          <w:rFonts w:ascii="Times New Roman" w:hAnsi="Times New Roman" w:cs="Times New Roman"/>
          <w:bCs w:val="0"/>
          <w:color w:val="000000"/>
          <w:sz w:val="22"/>
          <w:szCs w:val="22"/>
          <w:lang w:eastAsia="ja-JP"/>
        </w:rPr>
        <w:t xml:space="preserve"> or may not realize how </w:t>
      </w:r>
      <w:r w:rsidR="00A17DE4">
        <w:rPr>
          <w:rFonts w:ascii="Times New Roman" w:hAnsi="Times New Roman" w:cs="Times New Roman"/>
          <w:bCs w:val="0"/>
          <w:color w:val="000000"/>
          <w:sz w:val="22"/>
          <w:szCs w:val="22"/>
          <w:lang w:eastAsia="ja-JP"/>
        </w:rPr>
        <w:t>meaningful</w:t>
      </w:r>
      <w:r w:rsidR="00697D9D">
        <w:rPr>
          <w:rFonts w:ascii="Times New Roman" w:hAnsi="Times New Roman" w:cs="Times New Roman"/>
          <w:bCs w:val="0"/>
          <w:color w:val="000000"/>
          <w:sz w:val="22"/>
          <w:szCs w:val="22"/>
          <w:lang w:eastAsia="ja-JP"/>
        </w:rPr>
        <w:t xml:space="preserve"> that low confidence score </w:t>
      </w:r>
      <w:r w:rsidR="00CE4F5C">
        <w:rPr>
          <w:rFonts w:ascii="Times New Roman" w:hAnsi="Times New Roman" w:cs="Times New Roman"/>
          <w:bCs w:val="0"/>
          <w:color w:val="000000"/>
          <w:sz w:val="22"/>
          <w:szCs w:val="22"/>
          <w:lang w:eastAsia="ja-JP"/>
        </w:rPr>
        <w:t>(or</w:t>
      </w:r>
      <w:r w:rsidR="004D73AB">
        <w:rPr>
          <w:rFonts w:ascii="Times New Roman" w:hAnsi="Times New Roman" w:cs="Times New Roman"/>
          <w:bCs w:val="0"/>
          <w:color w:val="000000"/>
          <w:sz w:val="22"/>
          <w:szCs w:val="22"/>
          <w:lang w:eastAsia="ja-JP"/>
        </w:rPr>
        <w:t xml:space="preserve"> high</w:t>
      </w:r>
      <w:r w:rsidR="00CE4F5C">
        <w:rPr>
          <w:rFonts w:ascii="Times New Roman" w:hAnsi="Times New Roman" w:cs="Times New Roman"/>
          <w:bCs w:val="0"/>
          <w:color w:val="000000"/>
          <w:sz w:val="22"/>
          <w:szCs w:val="22"/>
          <w:lang w:eastAsia="ja-JP"/>
        </w:rPr>
        <w:t xml:space="preserve"> FSD) </w:t>
      </w:r>
      <w:r w:rsidR="00697D9D">
        <w:rPr>
          <w:rFonts w:ascii="Times New Roman" w:hAnsi="Times New Roman" w:cs="Times New Roman"/>
          <w:bCs w:val="0"/>
          <w:color w:val="000000"/>
          <w:sz w:val="22"/>
          <w:szCs w:val="22"/>
          <w:lang w:eastAsia="ja-JP"/>
        </w:rPr>
        <w:t>is.</w:t>
      </w:r>
      <w:r w:rsidR="00697D9D" w:rsidRPr="00697D9D">
        <w:rPr>
          <w:rFonts w:ascii="Times New Roman" w:hAnsi="Times New Roman" w:cs="Times New Roman"/>
          <w:bCs w:val="0"/>
          <w:color w:val="000000"/>
          <w:sz w:val="22"/>
          <w:szCs w:val="22"/>
          <w:lang w:eastAsia="ja-JP"/>
        </w:rPr>
        <w:t xml:space="preserve"> </w:t>
      </w:r>
    </w:p>
    <w:p w14:paraId="214E4BCD" w14:textId="445A533A" w:rsidR="00697D9D" w:rsidRPr="008A4255" w:rsidRDefault="00024CE6" w:rsidP="00697D9D">
      <w:pPr>
        <w:pStyle w:val="Closing"/>
        <w:spacing w:before="360" w:after="480"/>
        <w:rPr>
          <w:rFonts w:ascii="Times New Roman" w:hAnsi="Times New Roman" w:cs="Times New Roman"/>
          <w:bCs w:val="0"/>
          <w:color w:val="000000"/>
          <w:sz w:val="22"/>
          <w:szCs w:val="22"/>
          <w:lang w:eastAsia="ja-JP"/>
        </w:rPr>
      </w:pPr>
      <w:r>
        <w:rPr>
          <w:rFonts w:ascii="Times New Roman" w:hAnsi="Times New Roman" w:cs="Times New Roman"/>
          <w:bCs w:val="0"/>
          <w:color w:val="000000"/>
          <w:sz w:val="22"/>
          <w:szCs w:val="22"/>
          <w:lang w:eastAsia="ja-JP"/>
        </w:rPr>
        <w:t>T</w:t>
      </w:r>
      <w:r w:rsidR="00697D9D">
        <w:rPr>
          <w:rFonts w:ascii="Times New Roman" w:hAnsi="Times New Roman" w:cs="Times New Roman"/>
          <w:bCs w:val="0"/>
          <w:color w:val="000000"/>
          <w:sz w:val="22"/>
          <w:szCs w:val="22"/>
          <w:lang w:eastAsia="ja-JP"/>
        </w:rPr>
        <w:t xml:space="preserve">hat same </w:t>
      </w:r>
      <w:r w:rsidR="00CE4F5C">
        <w:rPr>
          <w:rFonts w:ascii="Times New Roman" w:hAnsi="Times New Roman" w:cs="Times New Roman"/>
          <w:bCs w:val="0"/>
          <w:color w:val="000000"/>
          <w:sz w:val="22"/>
          <w:szCs w:val="22"/>
          <w:lang w:eastAsia="ja-JP"/>
        </w:rPr>
        <w:t xml:space="preserve">study </w:t>
      </w:r>
      <w:r w:rsidR="00697D9D">
        <w:rPr>
          <w:rFonts w:ascii="Times New Roman" w:hAnsi="Times New Roman" w:cs="Times New Roman"/>
          <w:bCs w:val="0"/>
          <w:color w:val="000000"/>
          <w:sz w:val="22"/>
          <w:szCs w:val="22"/>
          <w:lang w:eastAsia="ja-JP"/>
        </w:rPr>
        <w:t>show</w:t>
      </w:r>
      <w:r>
        <w:rPr>
          <w:rFonts w:ascii="Times New Roman" w:hAnsi="Times New Roman" w:cs="Times New Roman"/>
          <w:bCs w:val="0"/>
          <w:color w:val="000000"/>
          <w:sz w:val="22"/>
          <w:szCs w:val="22"/>
          <w:lang w:eastAsia="ja-JP"/>
        </w:rPr>
        <w:t>ed</w:t>
      </w:r>
      <w:r w:rsidR="00697D9D">
        <w:rPr>
          <w:rFonts w:ascii="Times New Roman" w:hAnsi="Times New Roman" w:cs="Times New Roman"/>
          <w:bCs w:val="0"/>
          <w:color w:val="000000"/>
          <w:sz w:val="22"/>
          <w:szCs w:val="22"/>
          <w:lang w:eastAsia="ja-JP"/>
        </w:rPr>
        <w:t xml:space="preserve"> that the lowest confidence valuations by one model can often be valued much more reliably by other models. </w:t>
      </w:r>
      <w:r w:rsidR="001A554F">
        <w:rPr>
          <w:rFonts w:ascii="Times New Roman" w:hAnsi="Times New Roman" w:cs="Times New Roman"/>
          <w:bCs w:val="0"/>
          <w:color w:val="000000"/>
          <w:sz w:val="22"/>
          <w:szCs w:val="22"/>
          <w:lang w:eastAsia="ja-JP"/>
        </w:rPr>
        <w:t xml:space="preserve">That is </w:t>
      </w:r>
      <w:r w:rsidR="00697D9D">
        <w:rPr>
          <w:rFonts w:ascii="Times New Roman" w:hAnsi="Times New Roman" w:cs="Times New Roman"/>
          <w:bCs w:val="0"/>
          <w:color w:val="000000"/>
          <w:sz w:val="22"/>
          <w:szCs w:val="22"/>
          <w:lang w:eastAsia="ja-JP"/>
        </w:rPr>
        <w:t xml:space="preserve">demonstrated by analyzing the </w:t>
      </w:r>
      <w:r w:rsidR="007B67D4">
        <w:rPr>
          <w:rFonts w:ascii="Times New Roman" w:hAnsi="Times New Roman" w:cs="Times New Roman"/>
          <w:bCs w:val="0"/>
          <w:color w:val="000000"/>
          <w:sz w:val="22"/>
          <w:szCs w:val="22"/>
          <w:lang w:eastAsia="ja-JP"/>
        </w:rPr>
        <w:t xml:space="preserve">129,000 </w:t>
      </w:r>
      <w:r w:rsidR="00697D9D">
        <w:rPr>
          <w:rFonts w:ascii="Times New Roman" w:hAnsi="Times New Roman" w:cs="Times New Roman"/>
          <w:bCs w:val="0"/>
          <w:color w:val="000000"/>
          <w:sz w:val="22"/>
          <w:szCs w:val="22"/>
          <w:lang w:eastAsia="ja-JP"/>
        </w:rPr>
        <w:t xml:space="preserve">lowest-confidence valuations from </w:t>
      </w:r>
      <w:r w:rsidR="001A554F">
        <w:rPr>
          <w:rFonts w:ascii="Times New Roman" w:hAnsi="Times New Roman" w:cs="Times New Roman"/>
          <w:bCs w:val="0"/>
          <w:color w:val="000000"/>
          <w:sz w:val="22"/>
          <w:szCs w:val="22"/>
          <w:lang w:eastAsia="ja-JP"/>
        </w:rPr>
        <w:t xml:space="preserve">the </w:t>
      </w:r>
      <w:r w:rsidR="00697D9D">
        <w:rPr>
          <w:rFonts w:ascii="Times New Roman" w:hAnsi="Times New Roman" w:cs="Times New Roman"/>
          <w:bCs w:val="0"/>
          <w:color w:val="000000"/>
          <w:sz w:val="22"/>
          <w:szCs w:val="22"/>
          <w:lang w:eastAsia="ja-JP"/>
        </w:rPr>
        <w:t>highest-performing model</w:t>
      </w:r>
      <w:r w:rsidR="007B67D4">
        <w:rPr>
          <w:rFonts w:ascii="Times New Roman" w:hAnsi="Times New Roman" w:cs="Times New Roman"/>
          <w:bCs w:val="0"/>
          <w:color w:val="000000"/>
          <w:sz w:val="22"/>
          <w:szCs w:val="22"/>
          <w:lang w:eastAsia="ja-JP"/>
        </w:rPr>
        <w:t xml:space="preserve">. You might think that if the best model in </w:t>
      </w:r>
      <w:r w:rsidR="001A554F">
        <w:rPr>
          <w:rFonts w:ascii="Times New Roman" w:hAnsi="Times New Roman" w:cs="Times New Roman"/>
          <w:bCs w:val="0"/>
          <w:color w:val="000000"/>
          <w:sz w:val="22"/>
          <w:szCs w:val="22"/>
          <w:lang w:eastAsia="ja-JP"/>
        </w:rPr>
        <w:t xml:space="preserve">the </w:t>
      </w:r>
      <w:r w:rsidR="007B67D4">
        <w:rPr>
          <w:rFonts w:ascii="Times New Roman" w:hAnsi="Times New Roman" w:cs="Times New Roman"/>
          <w:bCs w:val="0"/>
          <w:color w:val="000000"/>
          <w:sz w:val="22"/>
          <w:szCs w:val="22"/>
          <w:lang w:eastAsia="ja-JP"/>
        </w:rPr>
        <w:t>study could</w:t>
      </w:r>
      <w:r w:rsidR="008F49B4">
        <w:rPr>
          <w:rFonts w:ascii="Times New Roman" w:hAnsi="Times New Roman" w:cs="Times New Roman"/>
          <w:bCs w:val="0"/>
          <w:color w:val="000000"/>
          <w:sz w:val="22"/>
          <w:szCs w:val="22"/>
          <w:lang w:eastAsia="ja-JP"/>
        </w:rPr>
        <w:t xml:space="preserve"> </w:t>
      </w:r>
      <w:r w:rsidR="007B67D4">
        <w:rPr>
          <w:rFonts w:ascii="Times New Roman" w:hAnsi="Times New Roman" w:cs="Times New Roman"/>
          <w:bCs w:val="0"/>
          <w:color w:val="000000"/>
          <w:sz w:val="22"/>
          <w:szCs w:val="22"/>
          <w:lang w:eastAsia="ja-JP"/>
        </w:rPr>
        <w:t>n</w:t>
      </w:r>
      <w:r w:rsidR="008F49B4">
        <w:rPr>
          <w:rFonts w:ascii="Times New Roman" w:hAnsi="Times New Roman" w:cs="Times New Roman"/>
          <w:bCs w:val="0"/>
          <w:color w:val="000000"/>
          <w:sz w:val="22"/>
          <w:szCs w:val="22"/>
          <w:lang w:eastAsia="ja-JP"/>
        </w:rPr>
        <w:t>o</w:t>
      </w:r>
      <w:r w:rsidR="007B67D4">
        <w:rPr>
          <w:rFonts w:ascii="Times New Roman" w:hAnsi="Times New Roman" w:cs="Times New Roman"/>
          <w:bCs w:val="0"/>
          <w:color w:val="000000"/>
          <w:sz w:val="22"/>
          <w:szCs w:val="22"/>
          <w:lang w:eastAsia="ja-JP"/>
        </w:rPr>
        <w:t xml:space="preserve">t effectively value those properties, it was probably because they </w:t>
      </w:r>
      <w:r>
        <w:rPr>
          <w:rFonts w:ascii="Times New Roman" w:hAnsi="Times New Roman" w:cs="Times New Roman"/>
          <w:bCs w:val="0"/>
          <w:color w:val="000000"/>
          <w:sz w:val="22"/>
          <w:szCs w:val="22"/>
          <w:lang w:eastAsia="ja-JP"/>
        </w:rPr>
        <w:t xml:space="preserve">were not </w:t>
      </w:r>
      <w:r w:rsidR="007B67D4">
        <w:rPr>
          <w:rFonts w:ascii="Times New Roman" w:hAnsi="Times New Roman" w:cs="Times New Roman"/>
          <w:bCs w:val="0"/>
          <w:color w:val="000000"/>
          <w:sz w:val="22"/>
          <w:szCs w:val="22"/>
          <w:lang w:eastAsia="ja-JP"/>
        </w:rPr>
        <w:t>good prospects for accurate AVM valuations. In many cases that</w:t>
      </w:r>
      <w:r w:rsidR="008F49B4">
        <w:rPr>
          <w:rFonts w:ascii="Times New Roman" w:hAnsi="Times New Roman" w:cs="Times New Roman"/>
          <w:bCs w:val="0"/>
          <w:color w:val="000000"/>
          <w:sz w:val="22"/>
          <w:szCs w:val="22"/>
          <w:lang w:eastAsia="ja-JP"/>
        </w:rPr>
        <w:t xml:space="preserve"> i</w:t>
      </w:r>
      <w:r w:rsidR="007B67D4">
        <w:rPr>
          <w:rFonts w:ascii="Times New Roman" w:hAnsi="Times New Roman" w:cs="Times New Roman"/>
          <w:bCs w:val="0"/>
          <w:color w:val="000000"/>
          <w:sz w:val="22"/>
          <w:szCs w:val="22"/>
          <w:lang w:eastAsia="ja-JP"/>
        </w:rPr>
        <w:t xml:space="preserve">s undoubtedly true. However, the second-best model overall actually produced 38,000 high-confidence valuations </w:t>
      </w:r>
      <w:r w:rsidR="008F49B4">
        <w:rPr>
          <w:rFonts w:ascii="Times New Roman" w:hAnsi="Times New Roman" w:cs="Times New Roman"/>
          <w:bCs w:val="0"/>
          <w:color w:val="000000"/>
          <w:sz w:val="22"/>
          <w:szCs w:val="22"/>
          <w:lang w:eastAsia="ja-JP"/>
        </w:rPr>
        <w:t xml:space="preserve">that tested quite well </w:t>
      </w:r>
      <w:r w:rsidR="007B67D4">
        <w:rPr>
          <w:rFonts w:ascii="Times New Roman" w:hAnsi="Times New Roman" w:cs="Times New Roman"/>
          <w:bCs w:val="0"/>
          <w:color w:val="000000"/>
          <w:sz w:val="22"/>
          <w:szCs w:val="22"/>
          <w:lang w:eastAsia="ja-JP"/>
        </w:rPr>
        <w:t xml:space="preserve">on those same properties </w:t>
      </w:r>
      <w:r w:rsidR="00A17DE4">
        <w:rPr>
          <w:rFonts w:ascii="Times New Roman" w:hAnsi="Times New Roman" w:cs="Times New Roman"/>
          <w:bCs w:val="0"/>
          <w:color w:val="000000"/>
          <w:sz w:val="22"/>
          <w:szCs w:val="22"/>
          <w:lang w:eastAsia="ja-JP"/>
        </w:rPr>
        <w:t>(</w:t>
      </w:r>
      <w:r w:rsidR="00786D1D">
        <w:rPr>
          <w:rFonts w:ascii="Times New Roman" w:hAnsi="Times New Roman" w:cs="Times New Roman"/>
          <w:bCs w:val="0"/>
          <w:color w:val="000000"/>
          <w:sz w:val="22"/>
          <w:szCs w:val="22"/>
          <w:lang w:eastAsia="ja-JP"/>
        </w:rPr>
        <w:t xml:space="preserve">about </w:t>
      </w:r>
      <w:r w:rsidR="00A17DE4">
        <w:rPr>
          <w:rFonts w:ascii="Times New Roman" w:hAnsi="Times New Roman" w:cs="Times New Roman"/>
          <w:bCs w:val="0"/>
          <w:color w:val="000000"/>
          <w:sz w:val="22"/>
          <w:szCs w:val="22"/>
          <w:lang w:eastAsia="ja-JP"/>
        </w:rPr>
        <w:t>29%</w:t>
      </w:r>
      <w:r>
        <w:rPr>
          <w:rFonts w:ascii="Times New Roman" w:hAnsi="Times New Roman" w:cs="Times New Roman"/>
          <w:bCs w:val="0"/>
          <w:color w:val="000000"/>
          <w:sz w:val="22"/>
          <w:szCs w:val="22"/>
          <w:lang w:eastAsia="ja-JP"/>
        </w:rPr>
        <w:t xml:space="preserve"> were effectively estimated by the second model</w:t>
      </w:r>
      <w:r w:rsidR="00A17DE4">
        <w:rPr>
          <w:rFonts w:ascii="Times New Roman" w:hAnsi="Times New Roman" w:cs="Times New Roman"/>
          <w:bCs w:val="0"/>
          <w:color w:val="000000"/>
          <w:sz w:val="22"/>
          <w:szCs w:val="22"/>
          <w:lang w:eastAsia="ja-JP"/>
        </w:rPr>
        <w:t>)</w:t>
      </w:r>
      <w:r w:rsidR="007B67D4">
        <w:rPr>
          <w:rFonts w:ascii="Times New Roman" w:hAnsi="Times New Roman" w:cs="Times New Roman"/>
          <w:bCs w:val="0"/>
          <w:color w:val="000000"/>
          <w:sz w:val="22"/>
          <w:szCs w:val="22"/>
          <w:lang w:eastAsia="ja-JP"/>
        </w:rPr>
        <w:t>. In other words, even the best model will not perform well in some places, and other models can fill in those gaps effectively. In our opinion, the</w:t>
      </w:r>
      <w:r w:rsidR="00CD03B1">
        <w:rPr>
          <w:rFonts w:ascii="Times New Roman" w:hAnsi="Times New Roman" w:cs="Times New Roman"/>
          <w:bCs w:val="0"/>
          <w:color w:val="000000"/>
          <w:sz w:val="22"/>
          <w:szCs w:val="22"/>
          <w:lang w:eastAsia="ja-JP"/>
        </w:rPr>
        <w:t>re is</w:t>
      </w:r>
      <w:r w:rsidR="007B67D4">
        <w:rPr>
          <w:rFonts w:ascii="Times New Roman" w:hAnsi="Times New Roman" w:cs="Times New Roman"/>
          <w:bCs w:val="0"/>
          <w:color w:val="000000"/>
          <w:sz w:val="22"/>
          <w:szCs w:val="22"/>
          <w:lang w:eastAsia="ja-JP"/>
        </w:rPr>
        <w:t xml:space="preserve"> risk that </w:t>
      </w:r>
      <w:r w:rsidR="001A554F">
        <w:rPr>
          <w:rFonts w:ascii="Times New Roman" w:hAnsi="Times New Roman" w:cs="Times New Roman"/>
          <w:bCs w:val="0"/>
          <w:color w:val="000000"/>
          <w:sz w:val="22"/>
          <w:szCs w:val="22"/>
          <w:lang w:eastAsia="ja-JP"/>
        </w:rPr>
        <w:t xml:space="preserve">the GSE’s and potential other originators </w:t>
      </w:r>
      <w:r w:rsidR="007B67D4">
        <w:rPr>
          <w:rFonts w:ascii="Times New Roman" w:hAnsi="Times New Roman" w:cs="Times New Roman"/>
          <w:bCs w:val="0"/>
          <w:color w:val="000000"/>
          <w:sz w:val="22"/>
          <w:szCs w:val="22"/>
          <w:lang w:eastAsia="ja-JP"/>
        </w:rPr>
        <w:t xml:space="preserve">who rely on only one model without understanding </w:t>
      </w:r>
      <w:r w:rsidR="00D9142A">
        <w:rPr>
          <w:rFonts w:ascii="Times New Roman" w:hAnsi="Times New Roman" w:cs="Times New Roman"/>
          <w:bCs w:val="0"/>
          <w:color w:val="000000"/>
          <w:sz w:val="22"/>
          <w:szCs w:val="22"/>
          <w:lang w:eastAsia="ja-JP"/>
        </w:rPr>
        <w:t>its</w:t>
      </w:r>
      <w:r w:rsidR="007B67D4">
        <w:rPr>
          <w:rFonts w:ascii="Times New Roman" w:hAnsi="Times New Roman" w:cs="Times New Roman"/>
          <w:bCs w:val="0"/>
          <w:color w:val="000000"/>
          <w:sz w:val="22"/>
          <w:szCs w:val="22"/>
          <w:lang w:eastAsia="ja-JP"/>
        </w:rPr>
        <w:t xml:space="preserve"> </w:t>
      </w:r>
      <w:r w:rsidR="003F0146">
        <w:rPr>
          <w:rFonts w:ascii="Times New Roman" w:hAnsi="Times New Roman" w:cs="Times New Roman"/>
          <w:bCs w:val="0"/>
          <w:color w:val="000000"/>
          <w:sz w:val="22"/>
          <w:szCs w:val="22"/>
          <w:lang w:eastAsia="ja-JP"/>
        </w:rPr>
        <w:t xml:space="preserve">strengths and weaknesses </w:t>
      </w:r>
      <w:r w:rsidR="007B67D4">
        <w:rPr>
          <w:rFonts w:ascii="Times New Roman" w:hAnsi="Times New Roman" w:cs="Times New Roman"/>
          <w:bCs w:val="0"/>
          <w:color w:val="000000"/>
          <w:sz w:val="22"/>
          <w:szCs w:val="22"/>
          <w:lang w:eastAsia="ja-JP"/>
        </w:rPr>
        <w:t xml:space="preserve">will make riskier lending decisions. </w:t>
      </w:r>
    </w:p>
    <w:tbl>
      <w:tblPr>
        <w:tblStyle w:val="TableGrid"/>
        <w:tblW w:w="0" w:type="auto"/>
        <w:tblLook w:val="04A0" w:firstRow="1" w:lastRow="0" w:firstColumn="1" w:lastColumn="0" w:noHBand="0" w:noVBand="1"/>
      </w:tblPr>
      <w:tblGrid>
        <w:gridCol w:w="1705"/>
        <w:gridCol w:w="6061"/>
      </w:tblGrid>
      <w:tr w:rsidR="00AB78BE" w:rsidRPr="00C1617B" w14:paraId="32751C2C" w14:textId="77777777" w:rsidTr="00E21231">
        <w:tc>
          <w:tcPr>
            <w:tcW w:w="1705" w:type="dxa"/>
            <w:shd w:val="clear" w:color="auto" w:fill="1A497B"/>
          </w:tcPr>
          <w:p w14:paraId="0499E818" w14:textId="55E20FD7" w:rsidR="00AB78BE" w:rsidRPr="00C1617B" w:rsidRDefault="00AB78BE" w:rsidP="00E21231">
            <w:pPr>
              <w:rPr>
                <w:rFonts w:ascii="Times New Roman" w:hAnsi="Times New Roman" w:cs="Times New Roman"/>
                <w:color w:val="FFFFFF" w:themeColor="background1"/>
                <w:sz w:val="22"/>
                <w:szCs w:val="22"/>
              </w:rPr>
            </w:pPr>
            <w:r w:rsidRPr="00C1617B">
              <w:rPr>
                <w:rFonts w:ascii="Times New Roman" w:hAnsi="Times New Roman" w:cs="Times New Roman"/>
                <w:color w:val="FFFFFF" w:themeColor="background1"/>
                <w:sz w:val="22"/>
                <w:szCs w:val="22"/>
              </w:rPr>
              <w:t>Question A1.</w:t>
            </w:r>
            <w:r w:rsidR="00095854">
              <w:rPr>
                <w:rFonts w:ascii="Times New Roman" w:hAnsi="Times New Roman" w:cs="Times New Roman"/>
                <w:color w:val="FFFFFF" w:themeColor="background1"/>
                <w:sz w:val="22"/>
                <w:szCs w:val="22"/>
              </w:rPr>
              <w:t>3</w:t>
            </w:r>
            <w:r w:rsidRPr="00C1617B">
              <w:rPr>
                <w:rFonts w:ascii="Times New Roman" w:hAnsi="Times New Roman" w:cs="Times New Roman"/>
                <w:color w:val="FFFFFF" w:themeColor="background1"/>
                <w:sz w:val="22"/>
                <w:szCs w:val="22"/>
              </w:rPr>
              <w:t>:</w:t>
            </w:r>
          </w:p>
        </w:tc>
        <w:tc>
          <w:tcPr>
            <w:tcW w:w="6061" w:type="dxa"/>
          </w:tcPr>
          <w:p w14:paraId="1F69A1E9" w14:textId="5EC760DB" w:rsidR="00AB78BE" w:rsidRPr="00095854" w:rsidRDefault="00095854" w:rsidP="00095854">
            <w:pPr>
              <w:autoSpaceDE w:val="0"/>
              <w:autoSpaceDN w:val="0"/>
              <w:adjustRightInd w:val="0"/>
              <w:rPr>
                <w:rFonts w:ascii="Times New Roman" w:hAnsi="Times New Roman" w:cs="Times New Roman"/>
                <w:color w:val="000000"/>
                <w:sz w:val="22"/>
                <w:szCs w:val="22"/>
              </w:rPr>
            </w:pPr>
            <w:r w:rsidRPr="00095854">
              <w:rPr>
                <w:rFonts w:ascii="Times New Roman" w:hAnsi="Times New Roman" w:cs="Times New Roman"/>
                <w:color w:val="000000"/>
                <w:sz w:val="22"/>
                <w:szCs w:val="22"/>
              </w:rPr>
              <w:t>Do appraisal waivers have a place in Enterprise appraisal policy and process, and if so, for what segment of loans? What are the current risks to Enterprise safety and soundness in how appraisal waivers are offered? Would caps or other limits on their usage be appropriate?</w:t>
            </w:r>
          </w:p>
        </w:tc>
      </w:tr>
    </w:tbl>
    <w:p w14:paraId="2CECABAF" w14:textId="6527713D" w:rsidR="00095854" w:rsidRDefault="00D9142A" w:rsidP="00D6551A">
      <w:pPr>
        <w:pStyle w:val="Closing"/>
        <w:spacing w:before="360" w:after="480"/>
      </w:pPr>
      <w:r>
        <w:rPr>
          <w:rFonts w:ascii="Times New Roman" w:hAnsi="Times New Roman" w:cs="Times New Roman"/>
          <w:bCs w:val="0"/>
          <w:color w:val="000000"/>
          <w:sz w:val="22"/>
          <w:szCs w:val="22"/>
          <w:lang w:eastAsia="ja-JP"/>
        </w:rPr>
        <w:t>We believe that appraisal waivers clearly have a place in Enterprise appraisal policy</w:t>
      </w:r>
      <w:r w:rsidR="00786D1D">
        <w:rPr>
          <w:rFonts w:ascii="Times New Roman" w:hAnsi="Times New Roman" w:cs="Times New Roman"/>
          <w:bCs w:val="0"/>
          <w:color w:val="000000"/>
          <w:sz w:val="22"/>
          <w:szCs w:val="22"/>
          <w:lang w:eastAsia="ja-JP"/>
        </w:rPr>
        <w:t>,</w:t>
      </w:r>
      <w:r>
        <w:rPr>
          <w:rFonts w:ascii="Times New Roman" w:hAnsi="Times New Roman" w:cs="Times New Roman"/>
          <w:bCs w:val="0"/>
          <w:color w:val="000000"/>
          <w:sz w:val="22"/>
          <w:szCs w:val="22"/>
          <w:lang w:eastAsia="ja-JP"/>
        </w:rPr>
        <w:t xml:space="preserve"> and the current policies of limiting appraisal waivers based on loan purpose, LTV and other indicators of risk are good mitigations. </w:t>
      </w:r>
    </w:p>
    <w:tbl>
      <w:tblPr>
        <w:tblStyle w:val="TableGrid"/>
        <w:tblW w:w="0" w:type="auto"/>
        <w:tblLook w:val="04A0" w:firstRow="1" w:lastRow="0" w:firstColumn="1" w:lastColumn="0" w:noHBand="0" w:noVBand="1"/>
      </w:tblPr>
      <w:tblGrid>
        <w:gridCol w:w="1705"/>
        <w:gridCol w:w="6061"/>
      </w:tblGrid>
      <w:tr w:rsidR="00095854" w:rsidRPr="00C1617B" w14:paraId="04257B02" w14:textId="77777777" w:rsidTr="00E21231">
        <w:tc>
          <w:tcPr>
            <w:tcW w:w="1705" w:type="dxa"/>
            <w:shd w:val="clear" w:color="auto" w:fill="1A497B"/>
          </w:tcPr>
          <w:p w14:paraId="7CF6B68A" w14:textId="14283B44" w:rsidR="00095854" w:rsidRPr="00C1617B" w:rsidRDefault="00095854" w:rsidP="00E21231">
            <w:pPr>
              <w:rPr>
                <w:rFonts w:ascii="Times New Roman" w:hAnsi="Times New Roman" w:cs="Times New Roman"/>
                <w:color w:val="FFFFFF" w:themeColor="background1"/>
                <w:sz w:val="22"/>
                <w:szCs w:val="22"/>
              </w:rPr>
            </w:pPr>
            <w:r>
              <w:rPr>
                <w:rFonts w:ascii="Times New Roman" w:hAnsi="Times New Roman" w:cs="Times New Roman"/>
                <w:color w:val="FFFFFF" w:themeColor="background1"/>
                <w:sz w:val="22"/>
                <w:szCs w:val="22"/>
              </w:rPr>
              <w:t>Question A1.4:</w:t>
            </w:r>
          </w:p>
        </w:tc>
        <w:tc>
          <w:tcPr>
            <w:tcW w:w="6061" w:type="dxa"/>
          </w:tcPr>
          <w:p w14:paraId="1FC5D913" w14:textId="4FFD0E34" w:rsidR="00095854" w:rsidRPr="00CA23C5" w:rsidRDefault="00095854" w:rsidP="00095854">
            <w:pPr>
              <w:autoSpaceDE w:val="0"/>
              <w:autoSpaceDN w:val="0"/>
              <w:adjustRightInd w:val="0"/>
              <w:rPr>
                <w:rFonts w:ascii="Times New Roman" w:hAnsi="Times New Roman" w:cs="Times New Roman"/>
                <w:color w:val="000000"/>
                <w:sz w:val="22"/>
                <w:szCs w:val="22"/>
              </w:rPr>
            </w:pPr>
            <w:r w:rsidRPr="00095854">
              <w:rPr>
                <w:rFonts w:ascii="Times New Roman" w:hAnsi="Times New Roman" w:cs="Times New Roman"/>
                <w:color w:val="000000"/>
                <w:sz w:val="22"/>
                <w:szCs w:val="22"/>
              </w:rPr>
              <w:t>Would utilizing alternative inspection workforces, such as insurance adjusters, real estate agents, and appraisal trainees assist with addressing appraiser capacity concerns? Are there risks of using third-party non-appraisers? If yes, How?</w:t>
            </w:r>
          </w:p>
        </w:tc>
      </w:tr>
    </w:tbl>
    <w:p w14:paraId="65E144EE" w14:textId="0F39CFA4" w:rsidR="00095854" w:rsidRDefault="00D9142A" w:rsidP="00095854">
      <w:pPr>
        <w:pStyle w:val="Closing"/>
        <w:spacing w:before="360" w:after="480"/>
        <w:rPr>
          <w:rFonts w:ascii="Times New Roman" w:hAnsi="Times New Roman" w:cs="Times New Roman"/>
          <w:sz w:val="22"/>
          <w:szCs w:val="22"/>
        </w:rPr>
      </w:pPr>
      <w:r>
        <w:rPr>
          <w:rFonts w:ascii="Times New Roman" w:hAnsi="Times New Roman" w:cs="Times New Roman"/>
          <w:sz w:val="22"/>
          <w:szCs w:val="22"/>
        </w:rPr>
        <w:lastRenderedPageBreak/>
        <w:t>Please see our answer to Question C1.1.</w:t>
      </w:r>
    </w:p>
    <w:tbl>
      <w:tblPr>
        <w:tblStyle w:val="TableGrid"/>
        <w:tblW w:w="0" w:type="auto"/>
        <w:tblLook w:val="04A0" w:firstRow="1" w:lastRow="0" w:firstColumn="1" w:lastColumn="0" w:noHBand="0" w:noVBand="1"/>
      </w:tblPr>
      <w:tblGrid>
        <w:gridCol w:w="1705"/>
        <w:gridCol w:w="6061"/>
      </w:tblGrid>
      <w:tr w:rsidR="00095854" w:rsidRPr="00C1617B" w14:paraId="4361F957" w14:textId="77777777" w:rsidTr="00E337B2">
        <w:tc>
          <w:tcPr>
            <w:tcW w:w="1705" w:type="dxa"/>
            <w:shd w:val="clear" w:color="auto" w:fill="1A497B"/>
          </w:tcPr>
          <w:p w14:paraId="4B5DC266" w14:textId="77777777" w:rsidR="00095854" w:rsidRPr="00C1617B" w:rsidRDefault="00095854" w:rsidP="00E337B2">
            <w:pPr>
              <w:rPr>
                <w:rFonts w:ascii="Times New Roman" w:hAnsi="Times New Roman" w:cs="Times New Roman"/>
                <w:color w:val="FFFFFF" w:themeColor="background1"/>
                <w:sz w:val="22"/>
                <w:szCs w:val="22"/>
              </w:rPr>
            </w:pPr>
            <w:r w:rsidRPr="00C1617B">
              <w:rPr>
                <w:rFonts w:ascii="Times New Roman" w:hAnsi="Times New Roman" w:cs="Times New Roman"/>
                <w:color w:val="FFFFFF" w:themeColor="background1"/>
                <w:sz w:val="22"/>
                <w:szCs w:val="22"/>
              </w:rPr>
              <w:t>Question A1.</w:t>
            </w:r>
            <w:r>
              <w:rPr>
                <w:rFonts w:ascii="Times New Roman" w:hAnsi="Times New Roman" w:cs="Times New Roman"/>
                <w:color w:val="FFFFFF" w:themeColor="background1"/>
                <w:sz w:val="22"/>
                <w:szCs w:val="22"/>
              </w:rPr>
              <w:t>5</w:t>
            </w:r>
            <w:r w:rsidRPr="00C1617B">
              <w:rPr>
                <w:rFonts w:ascii="Times New Roman" w:hAnsi="Times New Roman" w:cs="Times New Roman"/>
                <w:color w:val="FFFFFF" w:themeColor="background1"/>
                <w:sz w:val="22"/>
                <w:szCs w:val="22"/>
              </w:rPr>
              <w:t>:</w:t>
            </w:r>
          </w:p>
        </w:tc>
        <w:tc>
          <w:tcPr>
            <w:tcW w:w="6061" w:type="dxa"/>
          </w:tcPr>
          <w:p w14:paraId="66F796D3" w14:textId="77777777" w:rsidR="00095854" w:rsidRPr="00C1617B" w:rsidRDefault="00095854" w:rsidP="00E337B2">
            <w:pPr>
              <w:autoSpaceDE w:val="0"/>
              <w:autoSpaceDN w:val="0"/>
              <w:adjustRightInd w:val="0"/>
              <w:rPr>
                <w:rFonts w:ascii="Times New Roman" w:hAnsi="Times New Roman" w:cs="Times New Roman"/>
                <w:sz w:val="22"/>
                <w:szCs w:val="22"/>
              </w:rPr>
            </w:pPr>
            <w:r w:rsidRPr="00CA23C5">
              <w:rPr>
                <w:rFonts w:ascii="Times New Roman" w:hAnsi="Times New Roman" w:cs="Times New Roman"/>
                <w:color w:val="000000"/>
                <w:sz w:val="22"/>
                <w:szCs w:val="22"/>
              </w:rPr>
              <w:t>Is there a need for additional policies and controls to balance potential risks with efficiency benefit from appraisal modernization? If yes, please provide your recommendations.</w:t>
            </w:r>
          </w:p>
        </w:tc>
      </w:tr>
    </w:tbl>
    <w:p w14:paraId="0519EC66" w14:textId="1AB57DB0" w:rsidR="00095854" w:rsidRDefault="00D9142A" w:rsidP="00D6551A">
      <w:pPr>
        <w:spacing w:before="360" w:after="480" w:line="240" w:lineRule="auto"/>
        <w:rPr>
          <w:rFonts w:ascii="Times New Roman" w:hAnsi="Times New Roman" w:cs="Times New Roman"/>
          <w:color w:val="000000"/>
          <w:sz w:val="22"/>
          <w:szCs w:val="22"/>
        </w:rPr>
      </w:pPr>
      <w:r>
        <w:rPr>
          <w:rFonts w:ascii="Times New Roman" w:hAnsi="Times New Roman" w:cs="Times New Roman"/>
          <w:color w:val="000000"/>
          <w:sz w:val="22"/>
          <w:szCs w:val="22"/>
        </w:rPr>
        <w:t>We believe that there are significant r</w:t>
      </w:r>
      <w:r w:rsidR="00095854" w:rsidRPr="00CA23C5">
        <w:rPr>
          <w:rFonts w:ascii="Times New Roman" w:hAnsi="Times New Roman" w:cs="Times New Roman"/>
          <w:color w:val="000000"/>
          <w:sz w:val="22"/>
          <w:szCs w:val="22"/>
        </w:rPr>
        <w:t xml:space="preserve">isks </w:t>
      </w:r>
      <w:r>
        <w:rPr>
          <w:rFonts w:ascii="Times New Roman" w:hAnsi="Times New Roman" w:cs="Times New Roman"/>
          <w:color w:val="000000"/>
          <w:sz w:val="22"/>
          <w:szCs w:val="22"/>
        </w:rPr>
        <w:t xml:space="preserve">from increased </w:t>
      </w:r>
      <w:r w:rsidR="00095854" w:rsidRPr="00CA23C5">
        <w:rPr>
          <w:rFonts w:ascii="Times New Roman" w:hAnsi="Times New Roman" w:cs="Times New Roman"/>
          <w:color w:val="000000"/>
          <w:sz w:val="22"/>
          <w:szCs w:val="22"/>
        </w:rPr>
        <w:t xml:space="preserve">reliance on models that are less effective, either overall or in specific circumstances. </w:t>
      </w:r>
      <w:r>
        <w:rPr>
          <w:rFonts w:ascii="Times New Roman" w:hAnsi="Times New Roman" w:cs="Times New Roman"/>
          <w:color w:val="000000"/>
          <w:sz w:val="22"/>
          <w:szCs w:val="22"/>
        </w:rPr>
        <w:t>Those risks can be mitigated with better information on the accuracy</w:t>
      </w:r>
      <w:r w:rsidR="001A554F">
        <w:rPr>
          <w:rFonts w:ascii="Times New Roman" w:hAnsi="Times New Roman" w:cs="Times New Roman"/>
          <w:color w:val="000000"/>
          <w:sz w:val="22"/>
          <w:szCs w:val="22"/>
        </w:rPr>
        <w:t>,</w:t>
      </w:r>
      <w:r>
        <w:rPr>
          <w:rFonts w:ascii="Times New Roman" w:hAnsi="Times New Roman" w:cs="Times New Roman"/>
          <w:color w:val="000000"/>
          <w:sz w:val="22"/>
          <w:szCs w:val="22"/>
        </w:rPr>
        <w:t xml:space="preserve"> precision </w:t>
      </w:r>
      <w:r w:rsidR="001A554F">
        <w:rPr>
          <w:rFonts w:ascii="Times New Roman" w:hAnsi="Times New Roman" w:cs="Times New Roman"/>
          <w:color w:val="000000"/>
          <w:sz w:val="22"/>
          <w:szCs w:val="22"/>
        </w:rPr>
        <w:t xml:space="preserve">and error </w:t>
      </w:r>
      <w:r>
        <w:rPr>
          <w:rFonts w:ascii="Times New Roman" w:hAnsi="Times New Roman" w:cs="Times New Roman"/>
          <w:color w:val="000000"/>
          <w:sz w:val="22"/>
          <w:szCs w:val="22"/>
        </w:rPr>
        <w:t xml:space="preserve">of the models being </w:t>
      </w:r>
      <w:r w:rsidR="001A554F">
        <w:rPr>
          <w:rFonts w:ascii="Times New Roman" w:hAnsi="Times New Roman" w:cs="Times New Roman"/>
          <w:color w:val="000000"/>
          <w:sz w:val="22"/>
          <w:szCs w:val="22"/>
        </w:rPr>
        <w:t>relied upon</w:t>
      </w:r>
      <w:r>
        <w:rPr>
          <w:rFonts w:ascii="Times New Roman" w:hAnsi="Times New Roman" w:cs="Times New Roman"/>
          <w:color w:val="000000"/>
          <w:sz w:val="22"/>
          <w:szCs w:val="22"/>
        </w:rPr>
        <w:t xml:space="preserve">. Regular, </w:t>
      </w:r>
      <w:r w:rsidR="00697BCA">
        <w:rPr>
          <w:rFonts w:ascii="Times New Roman" w:hAnsi="Times New Roman" w:cs="Times New Roman"/>
          <w:color w:val="000000"/>
          <w:sz w:val="22"/>
          <w:szCs w:val="22"/>
        </w:rPr>
        <w:t>comprehensive testing in real-world conditions against valid benchmarks is essential to understand the strengths and weaknesses of</w:t>
      </w:r>
      <w:r w:rsidR="001A554F">
        <w:rPr>
          <w:rFonts w:ascii="Times New Roman" w:hAnsi="Times New Roman" w:cs="Times New Roman"/>
          <w:color w:val="000000"/>
          <w:sz w:val="22"/>
          <w:szCs w:val="22"/>
        </w:rPr>
        <w:t xml:space="preserve"> any </w:t>
      </w:r>
      <w:r w:rsidR="00697BCA">
        <w:rPr>
          <w:rFonts w:ascii="Times New Roman" w:hAnsi="Times New Roman" w:cs="Times New Roman"/>
          <w:color w:val="000000"/>
          <w:sz w:val="22"/>
          <w:szCs w:val="22"/>
        </w:rPr>
        <w:t>model.</w:t>
      </w:r>
    </w:p>
    <w:p w14:paraId="57C8CB88" w14:textId="3535B241" w:rsidR="008F49B4" w:rsidRDefault="00DD231B" w:rsidP="000109CB">
      <w:pPr>
        <w:spacing w:before="360" w:after="480" w:line="240" w:lineRule="auto"/>
        <w:rPr>
          <w:rFonts w:ascii="Times New Roman" w:hAnsi="Times New Roman" w:cs="Times New Roman"/>
          <w:color w:val="000000"/>
          <w:sz w:val="22"/>
          <w:szCs w:val="22"/>
        </w:rPr>
      </w:pPr>
      <w:r w:rsidRPr="00D6551A">
        <w:rPr>
          <w:rFonts w:ascii="Times New Roman" w:hAnsi="Times New Roman" w:cs="Times New Roman"/>
          <w:color w:val="000000"/>
          <w:sz w:val="22"/>
          <w:szCs w:val="22"/>
        </w:rPr>
        <w:t xml:space="preserve">In order to ensure that </w:t>
      </w:r>
      <w:r w:rsidR="000A79B1">
        <w:rPr>
          <w:rFonts w:ascii="Times New Roman" w:hAnsi="Times New Roman" w:cs="Times New Roman"/>
          <w:color w:val="000000"/>
          <w:sz w:val="22"/>
          <w:szCs w:val="22"/>
        </w:rPr>
        <w:t xml:space="preserve">adequate </w:t>
      </w:r>
      <w:r w:rsidRPr="00D6551A">
        <w:rPr>
          <w:rFonts w:ascii="Times New Roman" w:hAnsi="Times New Roman" w:cs="Times New Roman"/>
          <w:color w:val="000000"/>
          <w:sz w:val="22"/>
          <w:szCs w:val="22"/>
        </w:rPr>
        <w:t xml:space="preserve">testing is done regularly, </w:t>
      </w:r>
      <w:r w:rsidR="000A79B1">
        <w:rPr>
          <w:rFonts w:ascii="Times New Roman" w:hAnsi="Times New Roman" w:cs="Times New Roman"/>
          <w:color w:val="000000"/>
          <w:sz w:val="22"/>
          <w:szCs w:val="22"/>
        </w:rPr>
        <w:t xml:space="preserve">we recommend that </w:t>
      </w:r>
      <w:r w:rsidRPr="00D6551A">
        <w:rPr>
          <w:rFonts w:ascii="Times New Roman" w:hAnsi="Times New Roman" w:cs="Times New Roman"/>
          <w:color w:val="000000"/>
          <w:sz w:val="22"/>
          <w:szCs w:val="22"/>
        </w:rPr>
        <w:t xml:space="preserve">a </w:t>
      </w:r>
      <w:r w:rsidR="008F49B4">
        <w:rPr>
          <w:rFonts w:ascii="Times New Roman" w:hAnsi="Times New Roman" w:cs="Times New Roman"/>
          <w:color w:val="000000"/>
          <w:sz w:val="22"/>
          <w:szCs w:val="22"/>
        </w:rPr>
        <w:t>control</w:t>
      </w:r>
      <w:r w:rsidR="008F49B4" w:rsidRPr="00D6551A">
        <w:rPr>
          <w:rFonts w:ascii="Times New Roman" w:hAnsi="Times New Roman" w:cs="Times New Roman"/>
          <w:color w:val="000000"/>
          <w:sz w:val="22"/>
          <w:szCs w:val="22"/>
        </w:rPr>
        <w:t xml:space="preserve"> </w:t>
      </w:r>
      <w:r w:rsidR="000A79B1">
        <w:rPr>
          <w:rFonts w:ascii="Times New Roman" w:hAnsi="Times New Roman" w:cs="Times New Roman"/>
          <w:color w:val="000000"/>
          <w:sz w:val="22"/>
          <w:szCs w:val="22"/>
        </w:rPr>
        <w:t xml:space="preserve">be implemented to create transparency around how </w:t>
      </w:r>
      <w:r w:rsidR="001A554F">
        <w:rPr>
          <w:rFonts w:ascii="Times New Roman" w:hAnsi="Times New Roman" w:cs="Times New Roman"/>
          <w:color w:val="000000"/>
          <w:sz w:val="22"/>
          <w:szCs w:val="22"/>
        </w:rPr>
        <w:t xml:space="preserve">the GSE’s or other originators </w:t>
      </w:r>
      <w:r w:rsidR="000A79B1">
        <w:rPr>
          <w:rFonts w:ascii="Times New Roman" w:hAnsi="Times New Roman" w:cs="Times New Roman"/>
          <w:color w:val="000000"/>
          <w:sz w:val="22"/>
          <w:szCs w:val="22"/>
        </w:rPr>
        <w:t xml:space="preserve">are performing their testing. </w:t>
      </w:r>
      <w:r w:rsidR="00AD339E">
        <w:rPr>
          <w:rFonts w:ascii="Times New Roman" w:hAnsi="Times New Roman" w:cs="Times New Roman"/>
          <w:color w:val="000000"/>
          <w:sz w:val="22"/>
          <w:szCs w:val="22"/>
        </w:rPr>
        <w:t xml:space="preserve">This could be done </w:t>
      </w:r>
      <w:r w:rsidR="008F49B4">
        <w:rPr>
          <w:rFonts w:ascii="Times New Roman" w:hAnsi="Times New Roman" w:cs="Times New Roman"/>
          <w:color w:val="000000"/>
          <w:sz w:val="22"/>
          <w:szCs w:val="22"/>
        </w:rPr>
        <w:t>in a variety of ways. One method might require the GSE or lending institution</w:t>
      </w:r>
      <w:r w:rsidR="000109CB">
        <w:rPr>
          <w:rFonts w:ascii="Times New Roman" w:hAnsi="Times New Roman" w:cs="Times New Roman"/>
          <w:color w:val="000000"/>
          <w:sz w:val="22"/>
          <w:szCs w:val="22"/>
        </w:rPr>
        <w:t xml:space="preserve"> to </w:t>
      </w:r>
      <w:r w:rsidR="00AD339E">
        <w:rPr>
          <w:rFonts w:ascii="Times New Roman" w:hAnsi="Times New Roman" w:cs="Times New Roman"/>
          <w:color w:val="000000"/>
          <w:sz w:val="22"/>
          <w:szCs w:val="22"/>
        </w:rPr>
        <w:t>indicate their last AVM testing date</w:t>
      </w:r>
      <w:r w:rsidR="000109CB" w:rsidRPr="000109CB">
        <w:rPr>
          <w:rFonts w:ascii="Times New Roman" w:hAnsi="Times New Roman" w:cs="Times New Roman"/>
          <w:color w:val="000000"/>
          <w:sz w:val="22"/>
          <w:szCs w:val="22"/>
        </w:rPr>
        <w:t xml:space="preserve"> </w:t>
      </w:r>
      <w:r w:rsidR="000109CB">
        <w:rPr>
          <w:rFonts w:ascii="Times New Roman" w:hAnsi="Times New Roman" w:cs="Times New Roman"/>
          <w:color w:val="000000"/>
          <w:sz w:val="22"/>
          <w:szCs w:val="22"/>
        </w:rPr>
        <w:t>on each appraisal waiver.</w:t>
      </w:r>
      <w:r w:rsidR="00AD339E">
        <w:rPr>
          <w:rFonts w:ascii="Times New Roman" w:hAnsi="Times New Roman" w:cs="Times New Roman"/>
          <w:color w:val="000000"/>
          <w:sz w:val="22"/>
          <w:szCs w:val="22"/>
        </w:rPr>
        <w:t xml:space="preserve"> </w:t>
      </w:r>
    </w:p>
    <w:p w14:paraId="6B0CB7B9" w14:textId="7C329493" w:rsidR="00D655E8" w:rsidRDefault="00D655E8" w:rsidP="000109CB">
      <w:pPr>
        <w:spacing w:before="360" w:after="480" w:line="240" w:lineRule="auto"/>
        <w:rPr>
          <w:rFonts w:ascii="Times New Roman" w:hAnsi="Times New Roman" w:cs="Times New Roman"/>
          <w:color w:val="000000"/>
          <w:sz w:val="22"/>
          <w:szCs w:val="22"/>
        </w:rPr>
      </w:pPr>
      <w:r>
        <w:rPr>
          <w:rFonts w:ascii="Times New Roman" w:hAnsi="Times New Roman" w:cs="Times New Roman"/>
          <w:color w:val="000000"/>
          <w:sz w:val="22"/>
          <w:szCs w:val="22"/>
        </w:rPr>
        <w:t xml:space="preserve">Rating agencies are already providing another form of controls on appropriate AVM usage. In August of 2020, </w:t>
      </w:r>
      <w:proofErr w:type="spellStart"/>
      <w:r>
        <w:rPr>
          <w:rFonts w:ascii="Times New Roman" w:hAnsi="Times New Roman" w:cs="Times New Roman"/>
          <w:color w:val="000000"/>
          <w:sz w:val="22"/>
          <w:szCs w:val="22"/>
        </w:rPr>
        <w:t>Moodys</w:t>
      </w:r>
      <w:proofErr w:type="spellEnd"/>
      <w:r>
        <w:rPr>
          <w:rFonts w:ascii="Times New Roman" w:hAnsi="Times New Roman" w:cs="Times New Roman"/>
          <w:color w:val="000000"/>
          <w:sz w:val="22"/>
          <w:szCs w:val="22"/>
        </w:rPr>
        <w:t xml:space="preserve"> downgraded J.P. Morgan Chase’s Mortgage Acquisition Corp as an aggregator of prime jumbo mortgages largely because of their valuation cascade practices and the lack of performance data on those practices.</w:t>
      </w:r>
      <w:r>
        <w:rPr>
          <w:rStyle w:val="FootnoteReference"/>
          <w:rFonts w:ascii="Times New Roman" w:hAnsi="Times New Roman" w:cs="Times New Roman"/>
          <w:color w:val="000000"/>
          <w:sz w:val="22"/>
          <w:szCs w:val="22"/>
        </w:rPr>
        <w:footnoteReference w:id="6"/>
      </w:r>
      <w:r>
        <w:rPr>
          <w:rFonts w:ascii="Times New Roman" w:hAnsi="Times New Roman" w:cs="Times New Roman"/>
          <w:color w:val="000000"/>
          <w:sz w:val="22"/>
          <w:szCs w:val="22"/>
        </w:rPr>
        <w:t xml:space="preserve"> </w:t>
      </w:r>
    </w:p>
    <w:p w14:paraId="2CC8226B" w14:textId="3F46DF90" w:rsidR="00DD231B" w:rsidRPr="00D6551A" w:rsidRDefault="00AD339E" w:rsidP="00D6551A">
      <w:pPr>
        <w:spacing w:before="360" w:after="480" w:line="240" w:lineRule="auto"/>
        <w:rPr>
          <w:rFonts w:ascii="Times New Roman" w:hAnsi="Times New Roman" w:cs="Times New Roman"/>
          <w:color w:val="000000"/>
          <w:sz w:val="22"/>
          <w:szCs w:val="22"/>
        </w:rPr>
      </w:pPr>
      <w:r>
        <w:rPr>
          <w:rFonts w:ascii="Times New Roman" w:hAnsi="Times New Roman" w:cs="Times New Roman"/>
          <w:color w:val="000000"/>
          <w:sz w:val="22"/>
          <w:szCs w:val="22"/>
        </w:rPr>
        <w:t>Regardless of how it’s done, the goal would be to</w:t>
      </w:r>
      <w:r w:rsidR="008F49B4">
        <w:rPr>
          <w:rFonts w:ascii="Times New Roman" w:hAnsi="Times New Roman" w:cs="Times New Roman"/>
          <w:color w:val="000000"/>
          <w:sz w:val="22"/>
          <w:szCs w:val="22"/>
        </w:rPr>
        <w:t xml:space="preserve"> create a mechanism that would</w:t>
      </w:r>
      <w:r>
        <w:rPr>
          <w:rFonts w:ascii="Times New Roman" w:hAnsi="Times New Roman" w:cs="Times New Roman"/>
          <w:color w:val="000000"/>
          <w:sz w:val="22"/>
          <w:szCs w:val="22"/>
        </w:rPr>
        <w:t xml:space="preserve"> increase commitment to appropriate testing</w:t>
      </w:r>
      <w:r w:rsidR="008F49B4">
        <w:rPr>
          <w:rFonts w:ascii="Times New Roman" w:hAnsi="Times New Roman" w:cs="Times New Roman"/>
          <w:color w:val="000000"/>
          <w:sz w:val="22"/>
          <w:szCs w:val="22"/>
        </w:rPr>
        <w:t xml:space="preserve">. The </w:t>
      </w:r>
      <w:r w:rsidR="001A554F">
        <w:rPr>
          <w:rFonts w:ascii="Times New Roman" w:hAnsi="Times New Roman" w:cs="Times New Roman"/>
          <w:color w:val="000000"/>
          <w:sz w:val="22"/>
          <w:szCs w:val="22"/>
        </w:rPr>
        <w:t xml:space="preserve">GSE’s </w:t>
      </w:r>
      <w:r w:rsidR="008F49B4">
        <w:rPr>
          <w:rFonts w:ascii="Times New Roman" w:hAnsi="Times New Roman" w:cs="Times New Roman"/>
          <w:color w:val="000000"/>
          <w:sz w:val="22"/>
          <w:szCs w:val="22"/>
        </w:rPr>
        <w:t xml:space="preserve">could provide a leadership role by </w:t>
      </w:r>
      <w:r w:rsidR="00241C17">
        <w:rPr>
          <w:rFonts w:ascii="Times New Roman" w:hAnsi="Times New Roman" w:cs="Times New Roman"/>
          <w:color w:val="000000"/>
          <w:sz w:val="22"/>
          <w:szCs w:val="22"/>
        </w:rPr>
        <w:t xml:space="preserve">demonstrating </w:t>
      </w:r>
      <w:r w:rsidR="008F49B4">
        <w:rPr>
          <w:rFonts w:ascii="Times New Roman" w:hAnsi="Times New Roman" w:cs="Times New Roman"/>
          <w:color w:val="000000"/>
          <w:sz w:val="22"/>
          <w:szCs w:val="22"/>
        </w:rPr>
        <w:t xml:space="preserve">how they would like </w:t>
      </w:r>
      <w:r>
        <w:rPr>
          <w:rFonts w:ascii="Times New Roman" w:hAnsi="Times New Roman" w:cs="Times New Roman"/>
          <w:color w:val="000000"/>
          <w:sz w:val="22"/>
          <w:szCs w:val="22"/>
        </w:rPr>
        <w:t xml:space="preserve">lending institutions </w:t>
      </w:r>
      <w:r w:rsidR="000109CB">
        <w:rPr>
          <w:rFonts w:ascii="Times New Roman" w:hAnsi="Times New Roman" w:cs="Times New Roman"/>
          <w:color w:val="000000"/>
          <w:sz w:val="22"/>
          <w:szCs w:val="22"/>
        </w:rPr>
        <w:t xml:space="preserve">to </w:t>
      </w:r>
      <w:r w:rsidR="008F49B4">
        <w:rPr>
          <w:rFonts w:ascii="Times New Roman" w:hAnsi="Times New Roman" w:cs="Times New Roman"/>
          <w:color w:val="000000"/>
          <w:sz w:val="22"/>
          <w:szCs w:val="22"/>
        </w:rPr>
        <w:t>demonstrate their</w:t>
      </w:r>
      <w:r>
        <w:rPr>
          <w:rFonts w:ascii="Times New Roman" w:hAnsi="Times New Roman" w:cs="Times New Roman"/>
          <w:color w:val="000000"/>
          <w:sz w:val="22"/>
          <w:szCs w:val="22"/>
        </w:rPr>
        <w:t xml:space="preserve"> independent AVM testing </w:t>
      </w:r>
      <w:r w:rsidR="008F49B4">
        <w:rPr>
          <w:rFonts w:ascii="Times New Roman" w:hAnsi="Times New Roman" w:cs="Times New Roman"/>
          <w:color w:val="000000"/>
          <w:sz w:val="22"/>
          <w:szCs w:val="22"/>
        </w:rPr>
        <w:t xml:space="preserve">as </w:t>
      </w:r>
      <w:r>
        <w:rPr>
          <w:rFonts w:ascii="Times New Roman" w:hAnsi="Times New Roman" w:cs="Times New Roman"/>
          <w:color w:val="000000"/>
          <w:sz w:val="22"/>
          <w:szCs w:val="22"/>
        </w:rPr>
        <w:t xml:space="preserve">required by OCC 2010-42 and 2011-12. </w:t>
      </w:r>
    </w:p>
    <w:tbl>
      <w:tblPr>
        <w:tblStyle w:val="TableGrid"/>
        <w:tblW w:w="0" w:type="auto"/>
        <w:tblLook w:val="04A0" w:firstRow="1" w:lastRow="0" w:firstColumn="1" w:lastColumn="0" w:noHBand="0" w:noVBand="1"/>
      </w:tblPr>
      <w:tblGrid>
        <w:gridCol w:w="1705"/>
        <w:gridCol w:w="6061"/>
      </w:tblGrid>
      <w:tr w:rsidR="00095854" w:rsidRPr="00C1617B" w14:paraId="45E343B0" w14:textId="77777777" w:rsidTr="00FA6690">
        <w:tc>
          <w:tcPr>
            <w:tcW w:w="1705" w:type="dxa"/>
            <w:shd w:val="clear" w:color="auto" w:fill="1A497B"/>
          </w:tcPr>
          <w:p w14:paraId="78D5783F" w14:textId="67EAEBA8" w:rsidR="00095854" w:rsidRPr="00C1617B" w:rsidRDefault="00095854" w:rsidP="00FA6690">
            <w:pPr>
              <w:rPr>
                <w:rFonts w:ascii="Times New Roman" w:hAnsi="Times New Roman" w:cs="Times New Roman"/>
                <w:color w:val="FFFFFF" w:themeColor="background1"/>
                <w:sz w:val="22"/>
                <w:szCs w:val="22"/>
              </w:rPr>
            </w:pPr>
            <w:r w:rsidRPr="00C1617B">
              <w:rPr>
                <w:rFonts w:ascii="Times New Roman" w:hAnsi="Times New Roman" w:cs="Times New Roman"/>
                <w:color w:val="FFFFFF" w:themeColor="background1"/>
                <w:sz w:val="22"/>
                <w:szCs w:val="22"/>
              </w:rPr>
              <w:t xml:space="preserve">Question </w:t>
            </w:r>
            <w:r>
              <w:rPr>
                <w:rFonts w:ascii="Times New Roman" w:hAnsi="Times New Roman" w:cs="Times New Roman"/>
                <w:color w:val="FFFFFF" w:themeColor="background1"/>
                <w:sz w:val="22"/>
                <w:szCs w:val="22"/>
              </w:rPr>
              <w:t>B2.2</w:t>
            </w:r>
            <w:r w:rsidRPr="00C1617B">
              <w:rPr>
                <w:rFonts w:ascii="Times New Roman" w:hAnsi="Times New Roman" w:cs="Times New Roman"/>
                <w:color w:val="FFFFFF" w:themeColor="background1"/>
                <w:sz w:val="22"/>
                <w:szCs w:val="22"/>
              </w:rPr>
              <w:t>:</w:t>
            </w:r>
          </w:p>
        </w:tc>
        <w:tc>
          <w:tcPr>
            <w:tcW w:w="6061" w:type="dxa"/>
          </w:tcPr>
          <w:p w14:paraId="3072F9BB" w14:textId="0C6316F3" w:rsidR="00095854" w:rsidRPr="00095854" w:rsidRDefault="00095854" w:rsidP="00FA6690">
            <w:pPr>
              <w:autoSpaceDE w:val="0"/>
              <w:autoSpaceDN w:val="0"/>
              <w:adjustRightInd w:val="0"/>
              <w:rPr>
                <w:rFonts w:ascii="Times New Roman" w:hAnsi="Times New Roman" w:cs="Times New Roman"/>
                <w:color w:val="000000"/>
                <w:sz w:val="22"/>
                <w:szCs w:val="22"/>
              </w:rPr>
            </w:pPr>
            <w:r w:rsidRPr="00095854">
              <w:rPr>
                <w:rFonts w:ascii="Times New Roman" w:hAnsi="Times New Roman" w:cs="Times New Roman"/>
                <w:color w:val="000000"/>
                <w:sz w:val="22"/>
                <w:szCs w:val="22"/>
              </w:rPr>
              <w:t>How can the Enterprises improve their collateral tools currently available to lenders?</w:t>
            </w:r>
          </w:p>
        </w:tc>
      </w:tr>
    </w:tbl>
    <w:p w14:paraId="12C875D4" w14:textId="6601EE4A" w:rsidR="008C0670" w:rsidRDefault="008C0670" w:rsidP="00D6551A">
      <w:pPr>
        <w:spacing w:before="360" w:after="480" w:line="240" w:lineRule="auto"/>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In our </w:t>
      </w:r>
      <w:r w:rsidR="001A554F">
        <w:rPr>
          <w:rFonts w:ascii="Times New Roman" w:hAnsi="Times New Roman" w:cs="Times New Roman"/>
          <w:bCs/>
          <w:color w:val="000000"/>
          <w:sz w:val="22"/>
          <w:szCs w:val="22"/>
        </w:rPr>
        <w:t xml:space="preserve">almost two decades of </w:t>
      </w:r>
      <w:r>
        <w:rPr>
          <w:rFonts w:ascii="Times New Roman" w:hAnsi="Times New Roman" w:cs="Times New Roman"/>
          <w:bCs/>
          <w:color w:val="000000"/>
          <w:sz w:val="22"/>
          <w:szCs w:val="22"/>
        </w:rPr>
        <w:t xml:space="preserve">experience, </w:t>
      </w:r>
      <w:r w:rsidR="001A554F">
        <w:rPr>
          <w:rFonts w:ascii="Times New Roman" w:hAnsi="Times New Roman" w:cs="Times New Roman"/>
          <w:bCs/>
          <w:color w:val="000000"/>
          <w:sz w:val="22"/>
          <w:szCs w:val="22"/>
        </w:rPr>
        <w:t xml:space="preserve">our testing has found that </w:t>
      </w:r>
      <w:r>
        <w:rPr>
          <w:rFonts w:ascii="Times New Roman" w:hAnsi="Times New Roman" w:cs="Times New Roman"/>
          <w:bCs/>
          <w:color w:val="000000"/>
          <w:sz w:val="22"/>
          <w:szCs w:val="22"/>
        </w:rPr>
        <w:t xml:space="preserve">no one model can be the most accurate in every circumstance. </w:t>
      </w:r>
      <w:r w:rsidR="001A554F">
        <w:rPr>
          <w:rFonts w:ascii="Times New Roman" w:hAnsi="Times New Roman" w:cs="Times New Roman"/>
          <w:bCs/>
          <w:color w:val="000000"/>
          <w:sz w:val="22"/>
          <w:szCs w:val="22"/>
        </w:rPr>
        <w:t xml:space="preserve">This has </w:t>
      </w:r>
      <w:r w:rsidR="00074F73">
        <w:rPr>
          <w:rFonts w:ascii="Times New Roman" w:hAnsi="Times New Roman" w:cs="Times New Roman"/>
          <w:bCs/>
          <w:color w:val="000000"/>
          <w:sz w:val="22"/>
          <w:szCs w:val="22"/>
        </w:rPr>
        <w:t>led</w:t>
      </w:r>
      <w:r w:rsidR="001A554F">
        <w:rPr>
          <w:rFonts w:ascii="Times New Roman" w:hAnsi="Times New Roman" w:cs="Times New Roman"/>
          <w:bCs/>
          <w:color w:val="000000"/>
          <w:sz w:val="22"/>
          <w:szCs w:val="22"/>
        </w:rPr>
        <w:t xml:space="preserve"> to the conclusion that </w:t>
      </w:r>
      <w:r>
        <w:rPr>
          <w:rFonts w:ascii="Times New Roman" w:hAnsi="Times New Roman" w:cs="Times New Roman"/>
          <w:bCs/>
          <w:color w:val="000000"/>
          <w:sz w:val="22"/>
          <w:szCs w:val="22"/>
        </w:rPr>
        <w:t>the best automated collateral tool recognizes the strengths of the many commercially available models</w:t>
      </w:r>
      <w:r w:rsidR="00074F73">
        <w:rPr>
          <w:rFonts w:ascii="Times New Roman" w:hAnsi="Times New Roman" w:cs="Times New Roman"/>
          <w:bCs/>
          <w:color w:val="000000"/>
          <w:sz w:val="22"/>
          <w:szCs w:val="22"/>
        </w:rPr>
        <w:t xml:space="preserve"> at a very granular level</w:t>
      </w:r>
      <w:r>
        <w:rPr>
          <w:rFonts w:ascii="Times New Roman" w:hAnsi="Times New Roman" w:cs="Times New Roman"/>
          <w:bCs/>
          <w:color w:val="000000"/>
          <w:sz w:val="22"/>
          <w:szCs w:val="22"/>
        </w:rPr>
        <w:t xml:space="preserve">. At this time, there are at least 25 commercially available </w:t>
      </w:r>
      <w:r w:rsidR="00074F73">
        <w:rPr>
          <w:rFonts w:ascii="Times New Roman" w:hAnsi="Times New Roman" w:cs="Times New Roman"/>
          <w:bCs/>
          <w:color w:val="000000"/>
          <w:sz w:val="22"/>
          <w:szCs w:val="22"/>
        </w:rPr>
        <w:t xml:space="preserve">residential </w:t>
      </w:r>
      <w:r>
        <w:rPr>
          <w:rFonts w:ascii="Times New Roman" w:hAnsi="Times New Roman" w:cs="Times New Roman"/>
          <w:bCs/>
          <w:color w:val="000000"/>
          <w:sz w:val="22"/>
          <w:szCs w:val="22"/>
        </w:rPr>
        <w:t xml:space="preserve">models. Their relative strengths </w:t>
      </w:r>
      <w:r w:rsidR="00074F73">
        <w:rPr>
          <w:rFonts w:ascii="Times New Roman" w:hAnsi="Times New Roman" w:cs="Times New Roman"/>
          <w:bCs/>
          <w:color w:val="000000"/>
          <w:sz w:val="22"/>
          <w:szCs w:val="22"/>
        </w:rPr>
        <w:t xml:space="preserve">and weaknesses </w:t>
      </w:r>
      <w:r>
        <w:rPr>
          <w:rFonts w:ascii="Times New Roman" w:hAnsi="Times New Roman" w:cs="Times New Roman"/>
          <w:bCs/>
          <w:color w:val="000000"/>
          <w:sz w:val="22"/>
          <w:szCs w:val="22"/>
        </w:rPr>
        <w:t xml:space="preserve">can be identified through comparative analysis. The best automated tool </w:t>
      </w:r>
      <w:r w:rsidR="00C903B7">
        <w:rPr>
          <w:rFonts w:ascii="Times New Roman" w:hAnsi="Times New Roman" w:cs="Times New Roman"/>
          <w:bCs/>
          <w:color w:val="000000"/>
          <w:sz w:val="22"/>
          <w:szCs w:val="22"/>
        </w:rPr>
        <w:t>would use</w:t>
      </w:r>
      <w:r>
        <w:rPr>
          <w:rFonts w:ascii="Times New Roman" w:hAnsi="Times New Roman" w:cs="Times New Roman"/>
          <w:bCs/>
          <w:color w:val="000000"/>
          <w:sz w:val="22"/>
          <w:szCs w:val="22"/>
        </w:rPr>
        <w:t xml:space="preserve"> that information to deploy those commercially available models </w:t>
      </w:r>
      <w:r w:rsidR="00C903B7">
        <w:rPr>
          <w:rFonts w:ascii="Times New Roman" w:hAnsi="Times New Roman" w:cs="Times New Roman"/>
          <w:bCs/>
          <w:color w:val="000000"/>
          <w:sz w:val="22"/>
          <w:szCs w:val="22"/>
        </w:rPr>
        <w:t>in an optimized manner</w:t>
      </w:r>
      <w:r>
        <w:rPr>
          <w:rFonts w:ascii="Times New Roman" w:hAnsi="Times New Roman" w:cs="Times New Roman"/>
          <w:bCs/>
          <w:color w:val="000000"/>
          <w:sz w:val="22"/>
          <w:szCs w:val="22"/>
        </w:rPr>
        <w:t xml:space="preserve">. </w:t>
      </w:r>
    </w:p>
    <w:p w14:paraId="70715FBC" w14:textId="37A48899" w:rsidR="00095854" w:rsidRDefault="008C0670" w:rsidP="00D6551A">
      <w:pPr>
        <w:spacing w:before="360" w:after="480" w:line="240" w:lineRule="auto"/>
      </w:pPr>
      <w:r>
        <w:rPr>
          <w:rFonts w:ascii="Times New Roman" w:hAnsi="Times New Roman" w:cs="Times New Roman"/>
          <w:bCs/>
          <w:color w:val="000000"/>
          <w:sz w:val="22"/>
          <w:szCs w:val="22"/>
        </w:rPr>
        <w:lastRenderedPageBreak/>
        <w:t>We believe that the Enterprises can best improve the</w:t>
      </w:r>
      <w:r w:rsidR="00074F73">
        <w:rPr>
          <w:rFonts w:ascii="Times New Roman" w:hAnsi="Times New Roman" w:cs="Times New Roman"/>
          <w:bCs/>
          <w:color w:val="000000"/>
          <w:sz w:val="22"/>
          <w:szCs w:val="22"/>
        </w:rPr>
        <w:t>ir</w:t>
      </w:r>
      <w:r>
        <w:rPr>
          <w:rFonts w:ascii="Times New Roman" w:hAnsi="Times New Roman" w:cs="Times New Roman"/>
          <w:bCs/>
          <w:color w:val="000000"/>
          <w:sz w:val="22"/>
          <w:szCs w:val="22"/>
        </w:rPr>
        <w:t xml:space="preserve"> collateral tools that they make available to lenders by providing them with a Model Preference Table® customized to each specific valuation need.</w:t>
      </w:r>
      <w:r w:rsidR="00720765" w:rsidDel="008C0670">
        <w:rPr>
          <w:rFonts w:ascii="Times New Roman" w:hAnsi="Times New Roman" w:cs="Times New Roman"/>
          <w:bCs/>
          <w:color w:val="000000"/>
          <w:sz w:val="22"/>
          <w:szCs w:val="22"/>
        </w:rPr>
        <w:t xml:space="preserve"> </w:t>
      </w:r>
    </w:p>
    <w:tbl>
      <w:tblPr>
        <w:tblStyle w:val="TableGrid"/>
        <w:tblW w:w="0" w:type="auto"/>
        <w:tblLook w:val="04A0" w:firstRow="1" w:lastRow="0" w:firstColumn="1" w:lastColumn="0" w:noHBand="0" w:noVBand="1"/>
      </w:tblPr>
      <w:tblGrid>
        <w:gridCol w:w="1705"/>
        <w:gridCol w:w="6061"/>
      </w:tblGrid>
      <w:tr w:rsidR="00095854" w:rsidRPr="00C1617B" w14:paraId="40F4FFC0" w14:textId="77777777" w:rsidTr="00E21231">
        <w:tc>
          <w:tcPr>
            <w:tcW w:w="1705" w:type="dxa"/>
            <w:shd w:val="clear" w:color="auto" w:fill="1A497B"/>
          </w:tcPr>
          <w:p w14:paraId="68D24C8C" w14:textId="765B0917" w:rsidR="00095854" w:rsidRPr="00C1617B" w:rsidRDefault="00095854" w:rsidP="00E21231">
            <w:pPr>
              <w:rPr>
                <w:rFonts w:ascii="Times New Roman" w:hAnsi="Times New Roman" w:cs="Times New Roman"/>
                <w:color w:val="FFFFFF" w:themeColor="background1"/>
                <w:sz w:val="22"/>
                <w:szCs w:val="22"/>
              </w:rPr>
            </w:pPr>
            <w:r w:rsidRPr="00C1617B">
              <w:rPr>
                <w:rFonts w:ascii="Times New Roman" w:hAnsi="Times New Roman" w:cs="Times New Roman"/>
                <w:color w:val="FFFFFF" w:themeColor="background1"/>
                <w:sz w:val="22"/>
                <w:szCs w:val="22"/>
              </w:rPr>
              <w:t xml:space="preserve">Question </w:t>
            </w:r>
            <w:r>
              <w:rPr>
                <w:rFonts w:ascii="Times New Roman" w:hAnsi="Times New Roman" w:cs="Times New Roman"/>
                <w:color w:val="FFFFFF" w:themeColor="background1"/>
                <w:sz w:val="22"/>
                <w:szCs w:val="22"/>
              </w:rPr>
              <w:t>B2.4</w:t>
            </w:r>
            <w:r w:rsidRPr="00C1617B">
              <w:rPr>
                <w:rFonts w:ascii="Times New Roman" w:hAnsi="Times New Roman" w:cs="Times New Roman"/>
                <w:color w:val="FFFFFF" w:themeColor="background1"/>
                <w:sz w:val="22"/>
                <w:szCs w:val="22"/>
              </w:rPr>
              <w:t>:</w:t>
            </w:r>
          </w:p>
        </w:tc>
        <w:tc>
          <w:tcPr>
            <w:tcW w:w="6061" w:type="dxa"/>
          </w:tcPr>
          <w:p w14:paraId="66CF7CD6" w14:textId="5C8872CF" w:rsidR="00095854" w:rsidRPr="008E4CCE" w:rsidRDefault="00095854" w:rsidP="00095854">
            <w:pPr>
              <w:autoSpaceDE w:val="0"/>
              <w:autoSpaceDN w:val="0"/>
              <w:adjustRightInd w:val="0"/>
              <w:rPr>
                <w:rFonts w:ascii="Times New Roman" w:hAnsi="Times New Roman" w:cs="Times New Roman"/>
                <w:color w:val="000000"/>
                <w:sz w:val="22"/>
                <w:szCs w:val="22"/>
              </w:rPr>
            </w:pPr>
            <w:r w:rsidRPr="00095854">
              <w:rPr>
                <w:rFonts w:ascii="Times New Roman" w:hAnsi="Times New Roman" w:cs="Times New Roman"/>
                <w:color w:val="000000"/>
                <w:sz w:val="22"/>
                <w:szCs w:val="22"/>
              </w:rPr>
              <w:t>How can lenders manipulate automated underwriting systems when seeking an</w:t>
            </w:r>
            <w:r>
              <w:rPr>
                <w:rFonts w:ascii="Times New Roman" w:hAnsi="Times New Roman" w:cs="Times New Roman"/>
                <w:color w:val="000000"/>
                <w:sz w:val="22"/>
                <w:szCs w:val="22"/>
              </w:rPr>
              <w:t xml:space="preserve"> </w:t>
            </w:r>
            <w:r w:rsidRPr="00095854">
              <w:rPr>
                <w:rFonts w:ascii="Times New Roman" w:hAnsi="Times New Roman" w:cs="Times New Roman"/>
                <w:color w:val="000000"/>
                <w:sz w:val="22"/>
                <w:szCs w:val="22"/>
              </w:rPr>
              <w:t>appraisal wavier? For example, lenders changing the loan amount, submitting data</w:t>
            </w:r>
            <w:r>
              <w:rPr>
                <w:rFonts w:ascii="Times New Roman" w:hAnsi="Times New Roman" w:cs="Times New Roman"/>
                <w:color w:val="000000"/>
                <w:sz w:val="22"/>
                <w:szCs w:val="22"/>
              </w:rPr>
              <w:t xml:space="preserve"> </w:t>
            </w:r>
            <w:r w:rsidRPr="00095854">
              <w:rPr>
                <w:rFonts w:ascii="Times New Roman" w:hAnsi="Times New Roman" w:cs="Times New Roman"/>
                <w:color w:val="000000"/>
                <w:sz w:val="22"/>
                <w:szCs w:val="22"/>
              </w:rPr>
              <w:t>changes multiple times, or submitting to both Enterprises and delivering to the one</w:t>
            </w:r>
            <w:r>
              <w:rPr>
                <w:rFonts w:ascii="Times New Roman" w:hAnsi="Times New Roman" w:cs="Times New Roman"/>
                <w:color w:val="000000"/>
                <w:sz w:val="22"/>
                <w:szCs w:val="22"/>
              </w:rPr>
              <w:t xml:space="preserve"> </w:t>
            </w:r>
            <w:r w:rsidRPr="00095854">
              <w:rPr>
                <w:rFonts w:ascii="Times New Roman" w:hAnsi="Times New Roman" w:cs="Times New Roman"/>
                <w:color w:val="000000"/>
                <w:sz w:val="22"/>
                <w:szCs w:val="22"/>
              </w:rPr>
              <w:t>who offers the waiver? How do the Enterprises minimize this</w:t>
            </w:r>
            <w:r>
              <w:rPr>
                <w:rFonts w:ascii="Times New Roman" w:hAnsi="Times New Roman" w:cs="Times New Roman"/>
                <w:color w:val="000000"/>
                <w:sz w:val="22"/>
                <w:szCs w:val="22"/>
              </w:rPr>
              <w:t xml:space="preserve"> </w:t>
            </w:r>
            <w:r w:rsidRPr="00095854">
              <w:rPr>
                <w:rFonts w:ascii="Times New Roman" w:hAnsi="Times New Roman" w:cs="Times New Roman"/>
                <w:color w:val="000000"/>
                <w:sz w:val="22"/>
                <w:szCs w:val="22"/>
              </w:rPr>
              <w:t>manipulation?</w:t>
            </w:r>
          </w:p>
        </w:tc>
      </w:tr>
    </w:tbl>
    <w:p w14:paraId="30EC17E7" w14:textId="6199A504" w:rsidR="00A475F2" w:rsidRDefault="00A475F2" w:rsidP="00095854">
      <w:pPr>
        <w:pStyle w:val="Closing"/>
        <w:spacing w:before="360" w:after="480"/>
        <w:rPr>
          <w:rFonts w:ascii="Times New Roman" w:hAnsi="Times New Roman" w:cs="Times New Roman"/>
          <w:bCs w:val="0"/>
          <w:color w:val="000000"/>
          <w:sz w:val="22"/>
          <w:szCs w:val="22"/>
          <w:lang w:eastAsia="ja-JP"/>
        </w:rPr>
      </w:pPr>
      <w:r>
        <w:rPr>
          <w:rFonts w:ascii="Times New Roman" w:hAnsi="Times New Roman" w:cs="Times New Roman"/>
          <w:bCs w:val="0"/>
          <w:color w:val="000000"/>
          <w:sz w:val="22"/>
          <w:szCs w:val="22"/>
          <w:lang w:eastAsia="ja-JP"/>
        </w:rPr>
        <w:t>We agree that there</w:t>
      </w:r>
      <w:r w:rsidR="000F1F87">
        <w:rPr>
          <w:rFonts w:ascii="Times New Roman" w:hAnsi="Times New Roman" w:cs="Times New Roman"/>
          <w:bCs w:val="0"/>
          <w:color w:val="000000"/>
          <w:sz w:val="22"/>
          <w:szCs w:val="22"/>
          <w:lang w:eastAsia="ja-JP"/>
        </w:rPr>
        <w:t xml:space="preserve"> is</w:t>
      </w:r>
      <w:r>
        <w:rPr>
          <w:rFonts w:ascii="Times New Roman" w:hAnsi="Times New Roman" w:cs="Times New Roman"/>
          <w:bCs w:val="0"/>
          <w:color w:val="000000"/>
          <w:sz w:val="22"/>
          <w:szCs w:val="22"/>
          <w:lang w:eastAsia="ja-JP"/>
        </w:rPr>
        <w:t xml:space="preserve"> an opportunity for manipulation by lenders </w:t>
      </w:r>
      <w:r w:rsidR="004C6545">
        <w:rPr>
          <w:rFonts w:ascii="Times New Roman" w:hAnsi="Times New Roman" w:cs="Times New Roman"/>
          <w:bCs w:val="0"/>
          <w:color w:val="000000"/>
          <w:sz w:val="22"/>
          <w:szCs w:val="22"/>
          <w:lang w:eastAsia="ja-JP"/>
        </w:rPr>
        <w:t>by means of</w:t>
      </w:r>
      <w:r>
        <w:rPr>
          <w:rFonts w:ascii="Times New Roman" w:hAnsi="Times New Roman" w:cs="Times New Roman"/>
          <w:bCs w:val="0"/>
          <w:color w:val="000000"/>
          <w:sz w:val="22"/>
          <w:szCs w:val="22"/>
          <w:lang w:eastAsia="ja-JP"/>
        </w:rPr>
        <w:t xml:space="preserve"> exploiting two characteristics of </w:t>
      </w:r>
      <w:r w:rsidR="009C31D6">
        <w:rPr>
          <w:rFonts w:ascii="Times New Roman" w:hAnsi="Times New Roman" w:cs="Times New Roman"/>
          <w:bCs w:val="0"/>
          <w:color w:val="000000"/>
          <w:sz w:val="22"/>
          <w:szCs w:val="22"/>
          <w:lang w:eastAsia="ja-JP"/>
        </w:rPr>
        <w:t>the Enterprises’</w:t>
      </w:r>
      <w:r>
        <w:rPr>
          <w:rFonts w:ascii="Times New Roman" w:hAnsi="Times New Roman" w:cs="Times New Roman"/>
          <w:bCs w:val="0"/>
          <w:color w:val="000000"/>
          <w:sz w:val="22"/>
          <w:szCs w:val="22"/>
          <w:lang w:eastAsia="ja-JP"/>
        </w:rPr>
        <w:t xml:space="preserve"> appraisal waiver system</w:t>
      </w:r>
      <w:r w:rsidR="009C31D6">
        <w:rPr>
          <w:rFonts w:ascii="Times New Roman" w:hAnsi="Times New Roman" w:cs="Times New Roman"/>
          <w:bCs w:val="0"/>
          <w:color w:val="000000"/>
          <w:sz w:val="22"/>
          <w:szCs w:val="22"/>
          <w:lang w:eastAsia="ja-JP"/>
        </w:rPr>
        <w:t>s</w:t>
      </w:r>
      <w:r>
        <w:rPr>
          <w:rFonts w:ascii="Times New Roman" w:hAnsi="Times New Roman" w:cs="Times New Roman"/>
          <w:bCs w:val="0"/>
          <w:color w:val="000000"/>
          <w:sz w:val="22"/>
          <w:szCs w:val="22"/>
          <w:lang w:eastAsia="ja-JP"/>
        </w:rPr>
        <w:t>.</w:t>
      </w:r>
      <w:r w:rsidR="000F1F87">
        <w:rPr>
          <w:rFonts w:ascii="Times New Roman" w:hAnsi="Times New Roman" w:cs="Times New Roman"/>
          <w:bCs w:val="0"/>
          <w:color w:val="000000"/>
          <w:sz w:val="22"/>
          <w:szCs w:val="22"/>
          <w:lang w:eastAsia="ja-JP"/>
        </w:rPr>
        <w:t xml:space="preserve"> First, the fact that the two GSEs can be applied to separately allows them to be played against each other. Second, the fact that the two GSEs have different </w:t>
      </w:r>
      <w:r w:rsidR="004C6545">
        <w:rPr>
          <w:rFonts w:ascii="Times New Roman" w:hAnsi="Times New Roman" w:cs="Times New Roman"/>
          <w:bCs w:val="0"/>
          <w:color w:val="000000"/>
          <w:sz w:val="22"/>
          <w:szCs w:val="22"/>
          <w:lang w:eastAsia="ja-JP"/>
        </w:rPr>
        <w:t xml:space="preserve">internal </w:t>
      </w:r>
      <w:r w:rsidR="000F1F87">
        <w:rPr>
          <w:rFonts w:ascii="Times New Roman" w:hAnsi="Times New Roman" w:cs="Times New Roman"/>
          <w:bCs w:val="0"/>
          <w:color w:val="000000"/>
          <w:sz w:val="22"/>
          <w:szCs w:val="22"/>
          <w:lang w:eastAsia="ja-JP"/>
        </w:rPr>
        <w:t xml:space="preserve">AVMs could lead to </w:t>
      </w:r>
      <w:r w:rsidR="004C6545">
        <w:rPr>
          <w:rFonts w:ascii="Times New Roman" w:hAnsi="Times New Roman" w:cs="Times New Roman"/>
          <w:bCs w:val="0"/>
          <w:color w:val="000000"/>
          <w:sz w:val="22"/>
          <w:szCs w:val="22"/>
          <w:lang w:eastAsia="ja-JP"/>
        </w:rPr>
        <w:t xml:space="preserve">an </w:t>
      </w:r>
      <w:r w:rsidR="000F1F87">
        <w:rPr>
          <w:rFonts w:ascii="Times New Roman" w:hAnsi="Times New Roman" w:cs="Times New Roman"/>
          <w:bCs w:val="0"/>
          <w:color w:val="000000"/>
          <w:sz w:val="22"/>
          <w:szCs w:val="22"/>
          <w:lang w:eastAsia="ja-JP"/>
        </w:rPr>
        <w:t>adverse selection</w:t>
      </w:r>
      <w:r w:rsidR="004C6545">
        <w:rPr>
          <w:rFonts w:ascii="Times New Roman" w:hAnsi="Times New Roman" w:cs="Times New Roman"/>
          <w:bCs w:val="0"/>
          <w:color w:val="000000"/>
          <w:sz w:val="22"/>
          <w:szCs w:val="22"/>
          <w:lang w:eastAsia="ja-JP"/>
        </w:rPr>
        <w:t xml:space="preserve"> process</w:t>
      </w:r>
      <w:r w:rsidR="000F1F87">
        <w:rPr>
          <w:rFonts w:ascii="Times New Roman" w:hAnsi="Times New Roman" w:cs="Times New Roman"/>
          <w:bCs w:val="0"/>
          <w:color w:val="000000"/>
          <w:sz w:val="22"/>
          <w:szCs w:val="22"/>
          <w:lang w:eastAsia="ja-JP"/>
        </w:rPr>
        <w:t>, with lenders more likely to submit loans to the GSE with the AVM that has produced an overvaluation.</w:t>
      </w:r>
    </w:p>
    <w:p w14:paraId="120432B5" w14:textId="3C5C83E3" w:rsidR="00095854" w:rsidRPr="008E4CCE" w:rsidRDefault="000F1F87" w:rsidP="00095854">
      <w:pPr>
        <w:pStyle w:val="Closing"/>
        <w:spacing w:before="360" w:after="480"/>
        <w:rPr>
          <w:rFonts w:ascii="Times New Roman" w:hAnsi="Times New Roman" w:cs="Times New Roman"/>
          <w:bCs w:val="0"/>
          <w:color w:val="000000"/>
          <w:sz w:val="22"/>
          <w:szCs w:val="22"/>
          <w:lang w:eastAsia="ja-JP"/>
        </w:rPr>
      </w:pPr>
      <w:r>
        <w:rPr>
          <w:rFonts w:ascii="Times New Roman" w:hAnsi="Times New Roman" w:cs="Times New Roman"/>
          <w:bCs w:val="0"/>
          <w:color w:val="000000"/>
          <w:sz w:val="22"/>
          <w:szCs w:val="22"/>
          <w:lang w:eastAsia="ja-JP"/>
        </w:rPr>
        <w:t xml:space="preserve">We recommendation a solution in which </w:t>
      </w:r>
      <w:r w:rsidR="00AA1A7A">
        <w:rPr>
          <w:rFonts w:ascii="Times New Roman" w:hAnsi="Times New Roman" w:cs="Times New Roman"/>
          <w:bCs w:val="0"/>
          <w:color w:val="000000"/>
          <w:sz w:val="22"/>
          <w:szCs w:val="22"/>
          <w:lang w:eastAsia="ja-JP"/>
        </w:rPr>
        <w:t xml:space="preserve">both GSE’s use a common platform for the acceptance of waivers </w:t>
      </w:r>
      <w:r>
        <w:rPr>
          <w:rFonts w:ascii="Times New Roman" w:hAnsi="Times New Roman" w:cs="Times New Roman"/>
          <w:bCs w:val="0"/>
          <w:color w:val="000000"/>
          <w:sz w:val="22"/>
          <w:szCs w:val="22"/>
          <w:lang w:eastAsia="ja-JP"/>
        </w:rPr>
        <w:t xml:space="preserve">and that </w:t>
      </w:r>
      <w:r w:rsidR="00720765">
        <w:rPr>
          <w:rFonts w:ascii="Times New Roman" w:hAnsi="Times New Roman" w:cs="Times New Roman"/>
          <w:bCs w:val="0"/>
          <w:color w:val="000000"/>
          <w:sz w:val="22"/>
          <w:szCs w:val="22"/>
          <w:lang w:eastAsia="ja-JP"/>
        </w:rPr>
        <w:t xml:space="preserve">that </w:t>
      </w:r>
      <w:r>
        <w:rPr>
          <w:rFonts w:ascii="Times New Roman" w:hAnsi="Times New Roman" w:cs="Times New Roman"/>
          <w:bCs w:val="0"/>
          <w:color w:val="000000"/>
          <w:sz w:val="22"/>
          <w:szCs w:val="22"/>
          <w:lang w:eastAsia="ja-JP"/>
        </w:rPr>
        <w:t xml:space="preserve">common platform uses </w:t>
      </w:r>
      <w:r w:rsidR="00AA1A7A">
        <w:rPr>
          <w:rFonts w:ascii="Times New Roman" w:hAnsi="Times New Roman" w:cs="Times New Roman"/>
          <w:bCs w:val="0"/>
          <w:color w:val="000000"/>
          <w:sz w:val="22"/>
          <w:szCs w:val="22"/>
          <w:lang w:eastAsia="ja-JP"/>
        </w:rPr>
        <w:t xml:space="preserve">a </w:t>
      </w:r>
      <w:r w:rsidR="004C6545">
        <w:rPr>
          <w:rFonts w:ascii="Times New Roman" w:hAnsi="Times New Roman" w:cs="Times New Roman"/>
          <w:bCs w:val="0"/>
          <w:color w:val="000000"/>
          <w:sz w:val="22"/>
          <w:szCs w:val="22"/>
          <w:lang w:eastAsia="ja-JP"/>
        </w:rPr>
        <w:t>universal</w:t>
      </w:r>
      <w:r w:rsidR="00AA1A7A">
        <w:rPr>
          <w:rFonts w:ascii="Times New Roman" w:hAnsi="Times New Roman" w:cs="Times New Roman"/>
          <w:bCs w:val="0"/>
          <w:color w:val="000000"/>
          <w:sz w:val="22"/>
          <w:szCs w:val="22"/>
          <w:lang w:eastAsia="ja-JP"/>
        </w:rPr>
        <w:t xml:space="preserve"> </w:t>
      </w:r>
      <w:r w:rsidR="00A475F2">
        <w:rPr>
          <w:rFonts w:ascii="Times New Roman" w:hAnsi="Times New Roman" w:cs="Times New Roman"/>
          <w:bCs w:val="0"/>
          <w:color w:val="000000"/>
          <w:sz w:val="22"/>
          <w:szCs w:val="22"/>
          <w:lang w:eastAsia="ja-JP"/>
        </w:rPr>
        <w:t>Model Preference Table®</w:t>
      </w:r>
      <w:r>
        <w:rPr>
          <w:rFonts w:ascii="Times New Roman" w:hAnsi="Times New Roman" w:cs="Times New Roman"/>
          <w:bCs w:val="0"/>
          <w:color w:val="000000"/>
          <w:sz w:val="22"/>
          <w:szCs w:val="22"/>
          <w:lang w:eastAsia="ja-JP"/>
        </w:rPr>
        <w:t xml:space="preserve">. Not only would there be </w:t>
      </w:r>
      <w:r w:rsidR="00720765">
        <w:rPr>
          <w:rFonts w:ascii="Times New Roman" w:hAnsi="Times New Roman" w:cs="Times New Roman"/>
          <w:bCs w:val="0"/>
          <w:color w:val="000000"/>
          <w:sz w:val="22"/>
          <w:szCs w:val="22"/>
          <w:lang w:eastAsia="ja-JP"/>
        </w:rPr>
        <w:t>less</w:t>
      </w:r>
      <w:r>
        <w:rPr>
          <w:rFonts w:ascii="Times New Roman" w:hAnsi="Times New Roman" w:cs="Times New Roman"/>
          <w:bCs w:val="0"/>
          <w:color w:val="000000"/>
          <w:sz w:val="22"/>
          <w:szCs w:val="22"/>
          <w:lang w:eastAsia="ja-JP"/>
        </w:rPr>
        <w:t xml:space="preserve"> chance of adverse selection, but the </w:t>
      </w:r>
      <w:r w:rsidR="00720765">
        <w:rPr>
          <w:rFonts w:ascii="Times New Roman" w:hAnsi="Times New Roman" w:cs="Times New Roman"/>
          <w:bCs w:val="0"/>
          <w:color w:val="000000"/>
          <w:sz w:val="22"/>
          <w:szCs w:val="22"/>
          <w:lang w:eastAsia="ja-JP"/>
        </w:rPr>
        <w:t xml:space="preserve">platform would always be using the most </w:t>
      </w:r>
      <w:r w:rsidR="003F0146">
        <w:rPr>
          <w:rFonts w:ascii="Times New Roman" w:hAnsi="Times New Roman" w:cs="Times New Roman"/>
          <w:bCs w:val="0"/>
          <w:color w:val="000000"/>
          <w:sz w:val="22"/>
          <w:szCs w:val="22"/>
          <w:lang w:eastAsia="ja-JP"/>
        </w:rPr>
        <w:t xml:space="preserve">competent </w:t>
      </w:r>
      <w:r w:rsidR="00720765">
        <w:rPr>
          <w:rFonts w:ascii="Times New Roman" w:hAnsi="Times New Roman" w:cs="Times New Roman"/>
          <w:bCs w:val="0"/>
          <w:color w:val="000000"/>
          <w:sz w:val="22"/>
          <w:szCs w:val="22"/>
          <w:lang w:eastAsia="ja-JP"/>
        </w:rPr>
        <w:t xml:space="preserve">model for </w:t>
      </w:r>
      <w:r w:rsidR="004C6545">
        <w:rPr>
          <w:rFonts w:ascii="Times New Roman" w:hAnsi="Times New Roman" w:cs="Times New Roman"/>
          <w:bCs w:val="0"/>
          <w:color w:val="000000"/>
          <w:sz w:val="22"/>
          <w:szCs w:val="22"/>
          <w:lang w:eastAsia="ja-JP"/>
        </w:rPr>
        <w:t xml:space="preserve">a </w:t>
      </w:r>
      <w:r w:rsidR="00720765">
        <w:rPr>
          <w:rFonts w:ascii="Times New Roman" w:hAnsi="Times New Roman" w:cs="Times New Roman"/>
          <w:bCs w:val="0"/>
          <w:color w:val="000000"/>
          <w:sz w:val="22"/>
          <w:szCs w:val="22"/>
          <w:lang w:eastAsia="ja-JP"/>
        </w:rPr>
        <w:t xml:space="preserve">property. </w:t>
      </w:r>
    </w:p>
    <w:tbl>
      <w:tblPr>
        <w:tblStyle w:val="TableGrid"/>
        <w:tblW w:w="0" w:type="auto"/>
        <w:tblLook w:val="04A0" w:firstRow="1" w:lastRow="0" w:firstColumn="1" w:lastColumn="0" w:noHBand="0" w:noVBand="1"/>
      </w:tblPr>
      <w:tblGrid>
        <w:gridCol w:w="1705"/>
        <w:gridCol w:w="6061"/>
      </w:tblGrid>
      <w:tr w:rsidR="008E4CCE" w:rsidRPr="00C1617B" w14:paraId="20A0018E" w14:textId="77777777" w:rsidTr="00B95FAD">
        <w:tc>
          <w:tcPr>
            <w:tcW w:w="1705" w:type="dxa"/>
            <w:shd w:val="clear" w:color="auto" w:fill="1A497B"/>
          </w:tcPr>
          <w:p w14:paraId="64A04E4D" w14:textId="77777777" w:rsidR="008E4CCE" w:rsidRPr="00C1617B" w:rsidRDefault="008E4CCE" w:rsidP="00B95FAD">
            <w:pPr>
              <w:rPr>
                <w:rFonts w:ascii="Times New Roman" w:hAnsi="Times New Roman" w:cs="Times New Roman"/>
                <w:color w:val="FFFFFF" w:themeColor="background1"/>
                <w:sz w:val="22"/>
                <w:szCs w:val="22"/>
              </w:rPr>
            </w:pPr>
            <w:r w:rsidRPr="00C1617B">
              <w:rPr>
                <w:rFonts w:ascii="Times New Roman" w:hAnsi="Times New Roman" w:cs="Times New Roman"/>
                <w:color w:val="FFFFFF" w:themeColor="background1"/>
                <w:sz w:val="22"/>
                <w:szCs w:val="22"/>
              </w:rPr>
              <w:t xml:space="preserve">Question </w:t>
            </w:r>
            <w:r>
              <w:rPr>
                <w:rFonts w:ascii="Times New Roman" w:hAnsi="Times New Roman" w:cs="Times New Roman"/>
                <w:color w:val="FFFFFF" w:themeColor="background1"/>
                <w:sz w:val="22"/>
                <w:szCs w:val="22"/>
              </w:rPr>
              <w:t>B2.6</w:t>
            </w:r>
            <w:r w:rsidRPr="00C1617B">
              <w:rPr>
                <w:rFonts w:ascii="Times New Roman" w:hAnsi="Times New Roman" w:cs="Times New Roman"/>
                <w:color w:val="FFFFFF" w:themeColor="background1"/>
                <w:sz w:val="22"/>
                <w:szCs w:val="22"/>
              </w:rPr>
              <w:t>:</w:t>
            </w:r>
          </w:p>
        </w:tc>
        <w:tc>
          <w:tcPr>
            <w:tcW w:w="6061" w:type="dxa"/>
          </w:tcPr>
          <w:p w14:paraId="74E8C379" w14:textId="77777777" w:rsidR="008E4CCE" w:rsidRPr="00C1617B" w:rsidRDefault="008E4CCE" w:rsidP="00B95FAD">
            <w:pPr>
              <w:autoSpaceDE w:val="0"/>
              <w:autoSpaceDN w:val="0"/>
              <w:adjustRightInd w:val="0"/>
              <w:rPr>
                <w:rFonts w:ascii="Times New Roman" w:hAnsi="Times New Roman" w:cs="Times New Roman"/>
                <w:sz w:val="22"/>
                <w:szCs w:val="22"/>
              </w:rPr>
            </w:pPr>
            <w:r w:rsidRPr="008E4CCE">
              <w:rPr>
                <w:rFonts w:ascii="Times New Roman" w:hAnsi="Times New Roman" w:cs="Times New Roman"/>
                <w:color w:val="000000"/>
                <w:sz w:val="22"/>
                <w:szCs w:val="22"/>
              </w:rPr>
              <w:t>Is there any data or evidence you could share regarding the performance of alternative appraisal solutions versus traditional appraisals?</w:t>
            </w:r>
          </w:p>
        </w:tc>
      </w:tr>
    </w:tbl>
    <w:p w14:paraId="35685D28" w14:textId="02CD5875" w:rsidR="008E4CCE" w:rsidRDefault="00F96019" w:rsidP="008E4CCE">
      <w:pPr>
        <w:pStyle w:val="Closing"/>
        <w:spacing w:before="360" w:after="480"/>
        <w:rPr>
          <w:rFonts w:ascii="Times New Roman" w:hAnsi="Times New Roman" w:cs="Times New Roman"/>
          <w:bCs w:val="0"/>
          <w:color w:val="000000"/>
          <w:sz w:val="22"/>
          <w:szCs w:val="22"/>
          <w:lang w:eastAsia="ja-JP"/>
        </w:rPr>
      </w:pPr>
      <w:r>
        <w:rPr>
          <w:rFonts w:ascii="Times New Roman" w:hAnsi="Times New Roman" w:cs="Times New Roman"/>
          <w:bCs w:val="0"/>
          <w:color w:val="000000"/>
          <w:sz w:val="22"/>
          <w:szCs w:val="22"/>
          <w:lang w:eastAsia="ja-JP"/>
        </w:rPr>
        <w:t xml:space="preserve">AVMetrics </w:t>
      </w:r>
      <w:r w:rsidR="004C6545">
        <w:rPr>
          <w:rFonts w:ascii="Times New Roman" w:hAnsi="Times New Roman" w:cs="Times New Roman"/>
          <w:bCs w:val="0"/>
          <w:color w:val="000000"/>
          <w:sz w:val="22"/>
          <w:szCs w:val="22"/>
          <w:lang w:eastAsia="ja-JP"/>
        </w:rPr>
        <w:t xml:space="preserve">has done these studies in the past and </w:t>
      </w:r>
      <w:r>
        <w:rPr>
          <w:rFonts w:ascii="Times New Roman" w:hAnsi="Times New Roman" w:cs="Times New Roman"/>
          <w:bCs w:val="0"/>
          <w:color w:val="000000"/>
          <w:sz w:val="22"/>
          <w:szCs w:val="22"/>
          <w:lang w:eastAsia="ja-JP"/>
        </w:rPr>
        <w:t>would be happy to collaborate with the GSEs on testing the performance of alternative appraisal</w:t>
      </w:r>
      <w:r w:rsidR="007825F9">
        <w:rPr>
          <w:rFonts w:ascii="Times New Roman" w:hAnsi="Times New Roman" w:cs="Times New Roman"/>
          <w:bCs w:val="0"/>
          <w:color w:val="000000"/>
          <w:sz w:val="22"/>
          <w:szCs w:val="22"/>
          <w:lang w:eastAsia="ja-JP"/>
        </w:rPr>
        <w:t xml:space="preserve"> </w:t>
      </w:r>
      <w:r>
        <w:rPr>
          <w:rFonts w:ascii="Times New Roman" w:hAnsi="Times New Roman" w:cs="Times New Roman"/>
          <w:bCs w:val="0"/>
          <w:color w:val="000000"/>
          <w:sz w:val="22"/>
          <w:szCs w:val="22"/>
          <w:lang w:eastAsia="ja-JP"/>
        </w:rPr>
        <w:t>s</w:t>
      </w:r>
      <w:r w:rsidR="007825F9">
        <w:rPr>
          <w:rFonts w:ascii="Times New Roman" w:hAnsi="Times New Roman" w:cs="Times New Roman"/>
          <w:bCs w:val="0"/>
          <w:color w:val="000000"/>
          <w:sz w:val="22"/>
          <w:szCs w:val="22"/>
          <w:lang w:eastAsia="ja-JP"/>
        </w:rPr>
        <w:t>olutions</w:t>
      </w:r>
      <w:r>
        <w:rPr>
          <w:rFonts w:ascii="Times New Roman" w:hAnsi="Times New Roman" w:cs="Times New Roman"/>
          <w:bCs w:val="0"/>
          <w:color w:val="000000"/>
          <w:sz w:val="22"/>
          <w:szCs w:val="22"/>
          <w:lang w:eastAsia="ja-JP"/>
        </w:rPr>
        <w:t xml:space="preserve"> against traditional appraisals. AVMetrics could contribute its robust testing capability and leverage </w:t>
      </w:r>
      <w:r w:rsidR="007825F9">
        <w:rPr>
          <w:rFonts w:ascii="Times New Roman" w:hAnsi="Times New Roman" w:cs="Times New Roman"/>
          <w:bCs w:val="0"/>
          <w:color w:val="000000"/>
          <w:sz w:val="22"/>
          <w:szCs w:val="22"/>
          <w:lang w:eastAsia="ja-JP"/>
        </w:rPr>
        <w:t xml:space="preserve">the </w:t>
      </w:r>
      <w:r>
        <w:rPr>
          <w:rFonts w:ascii="Times New Roman" w:hAnsi="Times New Roman" w:cs="Times New Roman"/>
          <w:bCs w:val="0"/>
          <w:color w:val="000000"/>
          <w:sz w:val="22"/>
          <w:szCs w:val="22"/>
          <w:lang w:eastAsia="ja-JP"/>
        </w:rPr>
        <w:t>appraisal and alternative appraisal data available to the GSEs</w:t>
      </w:r>
      <w:r w:rsidR="00F433A0">
        <w:rPr>
          <w:rFonts w:ascii="Times New Roman" w:hAnsi="Times New Roman" w:cs="Times New Roman"/>
          <w:bCs w:val="0"/>
          <w:color w:val="000000"/>
          <w:sz w:val="22"/>
          <w:szCs w:val="22"/>
          <w:lang w:eastAsia="ja-JP"/>
        </w:rPr>
        <w:t>. T</w:t>
      </w:r>
      <w:r>
        <w:rPr>
          <w:rFonts w:ascii="Times New Roman" w:hAnsi="Times New Roman" w:cs="Times New Roman"/>
          <w:bCs w:val="0"/>
          <w:color w:val="000000"/>
          <w:sz w:val="22"/>
          <w:szCs w:val="22"/>
          <w:lang w:eastAsia="ja-JP"/>
        </w:rPr>
        <w:t xml:space="preserve">hat combination would undoubtedly reveal new insights about when and where each methodology has advantages. </w:t>
      </w:r>
    </w:p>
    <w:tbl>
      <w:tblPr>
        <w:tblStyle w:val="TableGrid"/>
        <w:tblW w:w="0" w:type="auto"/>
        <w:tblLook w:val="04A0" w:firstRow="1" w:lastRow="0" w:firstColumn="1" w:lastColumn="0" w:noHBand="0" w:noVBand="1"/>
      </w:tblPr>
      <w:tblGrid>
        <w:gridCol w:w="1705"/>
        <w:gridCol w:w="6061"/>
      </w:tblGrid>
      <w:tr w:rsidR="00095854" w:rsidRPr="00C1617B" w14:paraId="62BDD2CD" w14:textId="77777777" w:rsidTr="00E21231">
        <w:tc>
          <w:tcPr>
            <w:tcW w:w="1705" w:type="dxa"/>
            <w:shd w:val="clear" w:color="auto" w:fill="1A497B"/>
          </w:tcPr>
          <w:p w14:paraId="5A9E9828" w14:textId="64BEDB54" w:rsidR="00095854" w:rsidRPr="00C1617B" w:rsidRDefault="00095854" w:rsidP="00E21231">
            <w:pPr>
              <w:rPr>
                <w:rFonts w:ascii="Times New Roman" w:hAnsi="Times New Roman" w:cs="Times New Roman"/>
                <w:color w:val="FFFFFF" w:themeColor="background1"/>
                <w:sz w:val="22"/>
                <w:szCs w:val="22"/>
              </w:rPr>
            </w:pPr>
            <w:r w:rsidRPr="00C1617B">
              <w:rPr>
                <w:rFonts w:ascii="Times New Roman" w:hAnsi="Times New Roman" w:cs="Times New Roman"/>
                <w:color w:val="FFFFFF" w:themeColor="background1"/>
                <w:sz w:val="22"/>
                <w:szCs w:val="22"/>
              </w:rPr>
              <w:t xml:space="preserve">Question </w:t>
            </w:r>
            <w:r>
              <w:rPr>
                <w:rFonts w:ascii="Times New Roman" w:hAnsi="Times New Roman" w:cs="Times New Roman"/>
                <w:color w:val="FFFFFF" w:themeColor="background1"/>
                <w:sz w:val="22"/>
                <w:szCs w:val="22"/>
              </w:rPr>
              <w:t>C1.1:</w:t>
            </w:r>
          </w:p>
        </w:tc>
        <w:tc>
          <w:tcPr>
            <w:tcW w:w="6061" w:type="dxa"/>
          </w:tcPr>
          <w:p w14:paraId="114016F8" w14:textId="78C19F51" w:rsidR="00095854" w:rsidRPr="008E4CCE" w:rsidRDefault="00480C57" w:rsidP="00480C57">
            <w:pPr>
              <w:autoSpaceDE w:val="0"/>
              <w:autoSpaceDN w:val="0"/>
              <w:adjustRightInd w:val="0"/>
              <w:rPr>
                <w:rFonts w:ascii="Times New Roman" w:hAnsi="Times New Roman" w:cs="Times New Roman"/>
                <w:color w:val="000000"/>
                <w:sz w:val="22"/>
                <w:szCs w:val="22"/>
              </w:rPr>
            </w:pPr>
            <w:r w:rsidRPr="00480C57">
              <w:rPr>
                <w:rFonts w:ascii="Times New Roman" w:hAnsi="Times New Roman" w:cs="Times New Roman"/>
                <w:color w:val="000000"/>
                <w:sz w:val="22"/>
                <w:szCs w:val="22"/>
              </w:rPr>
              <w:t>What do you envision the impact of appraisal process improvements as described in</w:t>
            </w:r>
            <w:r>
              <w:rPr>
                <w:rFonts w:ascii="Times New Roman" w:hAnsi="Times New Roman" w:cs="Times New Roman"/>
                <w:color w:val="000000"/>
                <w:sz w:val="22"/>
                <w:szCs w:val="22"/>
              </w:rPr>
              <w:t xml:space="preserve"> </w:t>
            </w:r>
            <w:r w:rsidRPr="00480C57">
              <w:rPr>
                <w:rFonts w:ascii="Times New Roman" w:hAnsi="Times New Roman" w:cs="Times New Roman"/>
                <w:color w:val="000000"/>
                <w:sz w:val="22"/>
                <w:szCs w:val="22"/>
              </w:rPr>
              <w:t>this RFI to be on the appraisal industry? What impact, if any, has increasing use by</w:t>
            </w:r>
            <w:r>
              <w:rPr>
                <w:rFonts w:ascii="Times New Roman" w:hAnsi="Times New Roman" w:cs="Times New Roman"/>
                <w:color w:val="000000"/>
                <w:sz w:val="22"/>
                <w:szCs w:val="22"/>
              </w:rPr>
              <w:t xml:space="preserve"> </w:t>
            </w:r>
            <w:r w:rsidRPr="00480C57">
              <w:rPr>
                <w:rFonts w:ascii="Times New Roman" w:hAnsi="Times New Roman" w:cs="Times New Roman"/>
                <w:color w:val="000000"/>
                <w:sz w:val="22"/>
                <w:szCs w:val="22"/>
              </w:rPr>
              <w:t>the Enterprises of alternative appraisal solutions had on the</w:t>
            </w:r>
            <w:r>
              <w:rPr>
                <w:rFonts w:ascii="Times New Roman" w:hAnsi="Times New Roman" w:cs="Times New Roman"/>
                <w:color w:val="000000"/>
                <w:sz w:val="22"/>
                <w:szCs w:val="22"/>
              </w:rPr>
              <w:t xml:space="preserve"> </w:t>
            </w:r>
            <w:r w:rsidRPr="00480C57">
              <w:rPr>
                <w:rFonts w:ascii="Times New Roman" w:hAnsi="Times New Roman" w:cs="Times New Roman"/>
                <w:color w:val="000000"/>
                <w:sz w:val="22"/>
                <w:szCs w:val="22"/>
              </w:rPr>
              <w:t>availability and/or</w:t>
            </w:r>
            <w:r>
              <w:rPr>
                <w:rFonts w:ascii="Times New Roman" w:hAnsi="Times New Roman" w:cs="Times New Roman"/>
                <w:color w:val="000000"/>
                <w:sz w:val="22"/>
                <w:szCs w:val="22"/>
              </w:rPr>
              <w:t xml:space="preserve"> </w:t>
            </w:r>
            <w:r w:rsidRPr="00480C57">
              <w:rPr>
                <w:rFonts w:ascii="Times New Roman" w:hAnsi="Times New Roman" w:cs="Times New Roman"/>
                <w:color w:val="000000"/>
                <w:sz w:val="22"/>
                <w:szCs w:val="22"/>
              </w:rPr>
              <w:t>quality of traditional appraisals?</w:t>
            </w:r>
          </w:p>
        </w:tc>
      </w:tr>
    </w:tbl>
    <w:p w14:paraId="274CF0D8" w14:textId="4F955E37" w:rsidR="00095854" w:rsidRDefault="008E1DDD" w:rsidP="00F96019">
      <w:pPr>
        <w:pStyle w:val="Closing"/>
        <w:spacing w:before="360" w:after="480"/>
        <w:rPr>
          <w:rFonts w:ascii="Times New Roman" w:hAnsi="Times New Roman" w:cs="Times New Roman"/>
          <w:bCs w:val="0"/>
          <w:color w:val="000000"/>
          <w:sz w:val="22"/>
          <w:szCs w:val="22"/>
          <w:lang w:eastAsia="ja-JP"/>
        </w:rPr>
      </w:pPr>
      <w:r>
        <w:rPr>
          <w:rFonts w:ascii="Times New Roman" w:hAnsi="Times New Roman" w:cs="Times New Roman"/>
          <w:bCs w:val="0"/>
          <w:color w:val="000000"/>
          <w:sz w:val="22"/>
          <w:szCs w:val="22"/>
          <w:lang w:eastAsia="ja-JP"/>
        </w:rPr>
        <w:t xml:space="preserve">As the demand for valuation services </w:t>
      </w:r>
      <w:r w:rsidR="0074076C">
        <w:rPr>
          <w:rFonts w:ascii="Times New Roman" w:hAnsi="Times New Roman" w:cs="Times New Roman"/>
          <w:bCs w:val="0"/>
          <w:color w:val="000000"/>
          <w:sz w:val="22"/>
          <w:szCs w:val="22"/>
          <w:lang w:eastAsia="ja-JP"/>
        </w:rPr>
        <w:t xml:space="preserve">continues to grow, the appraisal profession </w:t>
      </w:r>
      <w:r>
        <w:rPr>
          <w:rFonts w:ascii="Times New Roman" w:hAnsi="Times New Roman" w:cs="Times New Roman"/>
          <w:bCs w:val="0"/>
          <w:color w:val="000000"/>
          <w:sz w:val="22"/>
          <w:szCs w:val="22"/>
          <w:lang w:eastAsia="ja-JP"/>
        </w:rPr>
        <w:t xml:space="preserve">continues </w:t>
      </w:r>
      <w:r w:rsidR="0074076C">
        <w:rPr>
          <w:rFonts w:ascii="Times New Roman" w:hAnsi="Times New Roman" w:cs="Times New Roman"/>
          <w:bCs w:val="0"/>
          <w:color w:val="000000"/>
          <w:sz w:val="22"/>
          <w:szCs w:val="22"/>
          <w:lang w:eastAsia="ja-JP"/>
        </w:rPr>
        <w:t xml:space="preserve">to shrink. </w:t>
      </w:r>
      <w:r w:rsidR="004C6545">
        <w:rPr>
          <w:rFonts w:ascii="Times New Roman" w:hAnsi="Times New Roman" w:cs="Times New Roman"/>
          <w:bCs w:val="0"/>
          <w:color w:val="000000"/>
          <w:sz w:val="22"/>
          <w:szCs w:val="22"/>
          <w:lang w:eastAsia="ja-JP"/>
        </w:rPr>
        <w:t xml:space="preserve">This disparity can already be felt in rural and underserved areas with delays and increasing fees. There have been </w:t>
      </w:r>
      <w:r>
        <w:rPr>
          <w:rFonts w:ascii="Times New Roman" w:hAnsi="Times New Roman" w:cs="Times New Roman"/>
          <w:bCs w:val="0"/>
          <w:color w:val="000000"/>
          <w:sz w:val="22"/>
          <w:szCs w:val="22"/>
          <w:lang w:eastAsia="ja-JP"/>
        </w:rPr>
        <w:t>a</w:t>
      </w:r>
      <w:r w:rsidR="004C6545">
        <w:rPr>
          <w:rFonts w:ascii="Times New Roman" w:hAnsi="Times New Roman" w:cs="Times New Roman"/>
          <w:bCs w:val="0"/>
          <w:color w:val="000000"/>
          <w:sz w:val="22"/>
          <w:szCs w:val="22"/>
          <w:lang w:eastAsia="ja-JP"/>
        </w:rPr>
        <w:t xml:space="preserve"> number of requests to the ASC for appraisal waivers</w:t>
      </w:r>
      <w:r w:rsidR="003F0146">
        <w:rPr>
          <w:rStyle w:val="FootnoteReference"/>
          <w:rFonts w:ascii="Times New Roman" w:hAnsi="Times New Roman" w:cs="Times New Roman"/>
          <w:bCs w:val="0"/>
          <w:color w:val="000000"/>
          <w:sz w:val="22"/>
          <w:szCs w:val="22"/>
          <w:lang w:eastAsia="ja-JP"/>
        </w:rPr>
        <w:footnoteReference w:id="7"/>
      </w:r>
      <w:r>
        <w:rPr>
          <w:rFonts w:ascii="Times New Roman" w:hAnsi="Times New Roman" w:cs="Times New Roman"/>
          <w:bCs w:val="0"/>
          <w:color w:val="000000"/>
          <w:sz w:val="22"/>
          <w:szCs w:val="22"/>
          <w:lang w:eastAsia="ja-JP"/>
        </w:rPr>
        <w:t xml:space="preserve">. </w:t>
      </w:r>
      <w:r w:rsidR="0074076C">
        <w:rPr>
          <w:rFonts w:ascii="Times New Roman" w:hAnsi="Times New Roman" w:cs="Times New Roman"/>
          <w:bCs w:val="0"/>
          <w:color w:val="000000"/>
          <w:sz w:val="22"/>
          <w:szCs w:val="22"/>
          <w:lang w:eastAsia="ja-JP"/>
        </w:rPr>
        <w:t xml:space="preserve">The only way to fill that gap will be to </w:t>
      </w:r>
      <w:r w:rsidR="0074076C">
        <w:rPr>
          <w:rFonts w:ascii="Times New Roman" w:hAnsi="Times New Roman" w:cs="Times New Roman"/>
          <w:bCs w:val="0"/>
          <w:color w:val="000000"/>
          <w:sz w:val="22"/>
          <w:szCs w:val="22"/>
          <w:lang w:eastAsia="ja-JP"/>
        </w:rPr>
        <w:lastRenderedPageBreak/>
        <w:t>incorporate new ways of effectively increasing appraiser productivity</w:t>
      </w:r>
      <w:r w:rsidR="00F96019">
        <w:rPr>
          <w:rFonts w:ascii="Times New Roman" w:hAnsi="Times New Roman" w:cs="Times New Roman"/>
          <w:bCs w:val="0"/>
          <w:color w:val="000000"/>
          <w:sz w:val="22"/>
          <w:szCs w:val="22"/>
          <w:lang w:eastAsia="ja-JP"/>
        </w:rPr>
        <w:t xml:space="preserve"> such as the modernization being discussed in this RFI process.</w:t>
      </w:r>
      <w:r w:rsidR="007825F9">
        <w:rPr>
          <w:rFonts w:ascii="Times New Roman" w:hAnsi="Times New Roman" w:cs="Times New Roman"/>
          <w:bCs w:val="0"/>
          <w:color w:val="000000"/>
          <w:sz w:val="22"/>
          <w:szCs w:val="22"/>
          <w:lang w:eastAsia="ja-JP"/>
        </w:rPr>
        <w:t xml:space="preserve"> We believe that such modernization can increase the capacity of the valuation industry overall. </w:t>
      </w:r>
      <w:r w:rsidR="00C8281A">
        <w:rPr>
          <w:rFonts w:ascii="Times New Roman" w:hAnsi="Times New Roman" w:cs="Times New Roman"/>
          <w:bCs w:val="0"/>
          <w:color w:val="000000"/>
          <w:sz w:val="22"/>
          <w:szCs w:val="22"/>
          <w:lang w:eastAsia="ja-JP"/>
        </w:rPr>
        <w:t>However,</w:t>
      </w:r>
      <w:r w:rsidR="007825F9">
        <w:rPr>
          <w:rFonts w:ascii="Times New Roman" w:hAnsi="Times New Roman" w:cs="Times New Roman"/>
          <w:bCs w:val="0"/>
          <w:color w:val="000000"/>
          <w:sz w:val="22"/>
          <w:szCs w:val="22"/>
          <w:lang w:eastAsia="ja-JP"/>
        </w:rPr>
        <w:t xml:space="preserve"> there are risks, and depending on how the modernization is handled, appraiser retirements could limit any increase to overall industry capacity (please see our answer to Question C1.2).</w:t>
      </w:r>
    </w:p>
    <w:p w14:paraId="56A41C41" w14:textId="6B28259A" w:rsidR="0074076C" w:rsidRDefault="0074076C" w:rsidP="00D6551A">
      <w:pPr>
        <w:pStyle w:val="Signature"/>
        <w:spacing w:before="360" w:after="480"/>
        <w:contextualSpacing w:val="0"/>
        <w:rPr>
          <w:rFonts w:ascii="Times New Roman" w:hAnsi="Times New Roman" w:cs="Times New Roman"/>
          <w:bCs w:val="0"/>
          <w:color w:val="000000"/>
          <w:sz w:val="22"/>
          <w:szCs w:val="22"/>
          <w:lang w:eastAsia="ja-JP"/>
        </w:rPr>
      </w:pPr>
      <w:r>
        <w:rPr>
          <w:rFonts w:ascii="Times New Roman" w:hAnsi="Times New Roman" w:cs="Times New Roman"/>
          <w:bCs w:val="0"/>
          <w:color w:val="000000"/>
          <w:sz w:val="22"/>
          <w:szCs w:val="22"/>
          <w:lang w:eastAsia="ja-JP"/>
        </w:rPr>
        <w:t xml:space="preserve">Our belief is that </w:t>
      </w:r>
      <w:r w:rsidRPr="00D6551A">
        <w:rPr>
          <w:rFonts w:ascii="Times New Roman" w:hAnsi="Times New Roman" w:cs="Times New Roman"/>
          <w:bCs w:val="0"/>
          <w:color w:val="000000"/>
          <w:sz w:val="22"/>
          <w:szCs w:val="22"/>
          <w:lang w:eastAsia="ja-JP"/>
        </w:rPr>
        <w:t xml:space="preserve">appraisers are a valuable and limited resource, and </w:t>
      </w:r>
      <w:r>
        <w:rPr>
          <w:rFonts w:ascii="Times New Roman" w:hAnsi="Times New Roman" w:cs="Times New Roman"/>
          <w:bCs w:val="0"/>
          <w:color w:val="000000"/>
          <w:sz w:val="22"/>
          <w:szCs w:val="22"/>
          <w:lang w:eastAsia="ja-JP"/>
        </w:rPr>
        <w:t xml:space="preserve">they should be </w:t>
      </w:r>
      <w:r w:rsidRPr="00D6551A">
        <w:rPr>
          <w:rFonts w:ascii="Times New Roman" w:hAnsi="Times New Roman" w:cs="Times New Roman"/>
          <w:bCs w:val="0"/>
          <w:color w:val="000000"/>
          <w:sz w:val="22"/>
          <w:szCs w:val="22"/>
          <w:lang w:eastAsia="ja-JP"/>
        </w:rPr>
        <w:t>employ</w:t>
      </w:r>
      <w:r>
        <w:rPr>
          <w:rFonts w:ascii="Times New Roman" w:hAnsi="Times New Roman" w:cs="Times New Roman"/>
          <w:bCs w:val="0"/>
          <w:color w:val="000000"/>
          <w:sz w:val="22"/>
          <w:szCs w:val="22"/>
          <w:lang w:eastAsia="ja-JP"/>
        </w:rPr>
        <w:t xml:space="preserve">ed </w:t>
      </w:r>
      <w:r w:rsidRPr="00D6551A">
        <w:rPr>
          <w:rFonts w:ascii="Times New Roman" w:hAnsi="Times New Roman" w:cs="Times New Roman"/>
          <w:bCs w:val="0"/>
          <w:color w:val="000000"/>
          <w:sz w:val="22"/>
          <w:szCs w:val="22"/>
          <w:lang w:eastAsia="ja-JP"/>
        </w:rPr>
        <w:t xml:space="preserve">at their highest and best use. Trying to be a “manual AVM” is not their highest and best use. </w:t>
      </w:r>
      <w:r w:rsidR="00F96019">
        <w:rPr>
          <w:rFonts w:ascii="Times New Roman" w:hAnsi="Times New Roman" w:cs="Times New Roman"/>
          <w:bCs w:val="0"/>
          <w:color w:val="000000"/>
          <w:sz w:val="22"/>
          <w:szCs w:val="22"/>
          <w:lang w:eastAsia="ja-JP"/>
        </w:rPr>
        <w:t xml:space="preserve">“Cookie cutter” </w:t>
      </w:r>
      <w:r w:rsidR="0057793D">
        <w:rPr>
          <w:rFonts w:ascii="Times New Roman" w:hAnsi="Times New Roman" w:cs="Times New Roman"/>
          <w:bCs w:val="0"/>
          <w:color w:val="000000"/>
          <w:sz w:val="22"/>
          <w:szCs w:val="22"/>
          <w:lang w:eastAsia="ja-JP"/>
        </w:rPr>
        <w:t xml:space="preserve">or non-complex </w:t>
      </w:r>
      <w:r w:rsidR="00F96019">
        <w:rPr>
          <w:rFonts w:ascii="Times New Roman" w:hAnsi="Times New Roman" w:cs="Times New Roman"/>
          <w:bCs w:val="0"/>
          <w:color w:val="000000"/>
          <w:sz w:val="22"/>
          <w:szCs w:val="22"/>
          <w:lang w:eastAsia="ja-JP"/>
        </w:rPr>
        <w:t xml:space="preserve">appraisals are not their highest and best use. </w:t>
      </w:r>
      <w:r w:rsidRPr="00D6551A">
        <w:rPr>
          <w:rFonts w:ascii="Times New Roman" w:hAnsi="Times New Roman" w:cs="Times New Roman"/>
          <w:bCs w:val="0"/>
          <w:color w:val="000000"/>
          <w:sz w:val="22"/>
          <w:szCs w:val="22"/>
          <w:lang w:eastAsia="ja-JP"/>
        </w:rPr>
        <w:t xml:space="preserve">Their expertise should be focused on the qualitative aspects of the valuation process such as condition, market and locational influences, not the quantitative (facts) such as bed and bath counts. </w:t>
      </w:r>
      <w:r w:rsidR="0057793D">
        <w:rPr>
          <w:rFonts w:ascii="Times New Roman" w:hAnsi="Times New Roman" w:cs="Times New Roman"/>
          <w:bCs w:val="0"/>
          <w:color w:val="000000"/>
          <w:sz w:val="22"/>
          <w:szCs w:val="22"/>
          <w:lang w:eastAsia="ja-JP"/>
        </w:rPr>
        <w:t xml:space="preserve">Although AVM’s are getting much </w:t>
      </w:r>
      <w:r w:rsidR="007A15E2">
        <w:rPr>
          <w:rFonts w:ascii="Times New Roman" w:hAnsi="Times New Roman" w:cs="Times New Roman"/>
          <w:bCs w:val="0"/>
          <w:color w:val="000000"/>
          <w:sz w:val="22"/>
          <w:szCs w:val="22"/>
          <w:lang w:eastAsia="ja-JP"/>
        </w:rPr>
        <w:t>better</w:t>
      </w:r>
      <w:r w:rsidR="00241C17">
        <w:rPr>
          <w:rFonts w:ascii="Times New Roman" w:hAnsi="Times New Roman" w:cs="Times New Roman"/>
          <w:bCs w:val="0"/>
          <w:color w:val="000000"/>
          <w:sz w:val="22"/>
          <w:szCs w:val="22"/>
          <w:lang w:eastAsia="ja-JP"/>
        </w:rPr>
        <w:t xml:space="preserve"> – and new tools that specifically model this type of qualitative data are being tested</w:t>
      </w:r>
      <w:r w:rsidR="00241C17">
        <w:rPr>
          <w:rStyle w:val="FootnoteReference"/>
          <w:rFonts w:ascii="Times New Roman" w:hAnsi="Times New Roman" w:cs="Times New Roman"/>
          <w:bCs w:val="0"/>
          <w:color w:val="000000"/>
          <w:sz w:val="22"/>
          <w:szCs w:val="22"/>
          <w:lang w:eastAsia="ja-JP"/>
        </w:rPr>
        <w:footnoteReference w:id="8"/>
      </w:r>
      <w:r w:rsidR="00241C17">
        <w:rPr>
          <w:rFonts w:ascii="Times New Roman" w:hAnsi="Times New Roman" w:cs="Times New Roman"/>
          <w:bCs w:val="0"/>
          <w:color w:val="000000"/>
          <w:sz w:val="22"/>
          <w:szCs w:val="22"/>
          <w:lang w:eastAsia="ja-JP"/>
        </w:rPr>
        <w:t xml:space="preserve"> – </w:t>
      </w:r>
      <w:r w:rsidR="0057793D">
        <w:rPr>
          <w:rFonts w:ascii="Times New Roman" w:hAnsi="Times New Roman" w:cs="Times New Roman"/>
          <w:bCs w:val="0"/>
          <w:color w:val="000000"/>
          <w:sz w:val="22"/>
          <w:szCs w:val="22"/>
          <w:lang w:eastAsia="ja-JP"/>
        </w:rPr>
        <w:t xml:space="preserve">they still do not match the ability of a trained appraiser at </w:t>
      </w:r>
      <w:r w:rsidR="0057793D" w:rsidRPr="00D6551A">
        <w:rPr>
          <w:rFonts w:ascii="Times New Roman" w:hAnsi="Times New Roman" w:cs="Times New Roman"/>
          <w:bCs w:val="0"/>
          <w:color w:val="000000"/>
          <w:sz w:val="22"/>
          <w:szCs w:val="22"/>
          <w:lang w:eastAsia="ja-JP"/>
        </w:rPr>
        <w:t>captur</w:t>
      </w:r>
      <w:r w:rsidR="0057793D">
        <w:rPr>
          <w:rFonts w:ascii="Times New Roman" w:hAnsi="Times New Roman" w:cs="Times New Roman"/>
          <w:bCs w:val="0"/>
          <w:color w:val="000000"/>
          <w:sz w:val="22"/>
          <w:szCs w:val="22"/>
          <w:lang w:eastAsia="ja-JP"/>
        </w:rPr>
        <w:t>ing</w:t>
      </w:r>
      <w:r w:rsidR="0057793D" w:rsidRPr="00D6551A">
        <w:rPr>
          <w:rFonts w:ascii="Times New Roman" w:hAnsi="Times New Roman" w:cs="Times New Roman"/>
          <w:bCs w:val="0"/>
          <w:color w:val="000000"/>
          <w:sz w:val="22"/>
          <w:szCs w:val="22"/>
          <w:lang w:eastAsia="ja-JP"/>
        </w:rPr>
        <w:t xml:space="preserve"> </w:t>
      </w:r>
      <w:r w:rsidRPr="00D6551A">
        <w:rPr>
          <w:rFonts w:ascii="Times New Roman" w:hAnsi="Times New Roman" w:cs="Times New Roman"/>
          <w:bCs w:val="0"/>
          <w:color w:val="000000"/>
          <w:sz w:val="22"/>
          <w:szCs w:val="22"/>
          <w:lang w:eastAsia="ja-JP"/>
        </w:rPr>
        <w:t xml:space="preserve">and </w:t>
      </w:r>
      <w:r w:rsidR="0057793D" w:rsidRPr="00D6551A">
        <w:rPr>
          <w:rFonts w:ascii="Times New Roman" w:hAnsi="Times New Roman" w:cs="Times New Roman"/>
          <w:bCs w:val="0"/>
          <w:color w:val="000000"/>
          <w:sz w:val="22"/>
          <w:szCs w:val="22"/>
          <w:lang w:eastAsia="ja-JP"/>
        </w:rPr>
        <w:t>analyz</w:t>
      </w:r>
      <w:r w:rsidR="0057793D">
        <w:rPr>
          <w:rFonts w:ascii="Times New Roman" w:hAnsi="Times New Roman" w:cs="Times New Roman"/>
          <w:bCs w:val="0"/>
          <w:color w:val="000000"/>
          <w:sz w:val="22"/>
          <w:szCs w:val="22"/>
          <w:lang w:eastAsia="ja-JP"/>
        </w:rPr>
        <w:t>ing</w:t>
      </w:r>
      <w:r w:rsidR="0057793D" w:rsidRPr="00D6551A">
        <w:rPr>
          <w:rFonts w:ascii="Times New Roman" w:hAnsi="Times New Roman" w:cs="Times New Roman"/>
          <w:bCs w:val="0"/>
          <w:color w:val="000000"/>
          <w:sz w:val="22"/>
          <w:szCs w:val="22"/>
          <w:lang w:eastAsia="ja-JP"/>
        </w:rPr>
        <w:t xml:space="preserve"> </w:t>
      </w:r>
      <w:r w:rsidRPr="00D6551A">
        <w:rPr>
          <w:rFonts w:ascii="Times New Roman" w:hAnsi="Times New Roman" w:cs="Times New Roman"/>
          <w:bCs w:val="0"/>
          <w:color w:val="000000"/>
          <w:sz w:val="22"/>
          <w:szCs w:val="22"/>
          <w:lang w:eastAsia="ja-JP"/>
        </w:rPr>
        <w:t>the qualitative aspects of a property.</w:t>
      </w:r>
    </w:p>
    <w:p w14:paraId="3F20F69A" w14:textId="07E96EA3" w:rsidR="007825F9" w:rsidRPr="00D6551A" w:rsidRDefault="00F96019" w:rsidP="00D6551A">
      <w:pPr>
        <w:pStyle w:val="Signature"/>
        <w:spacing w:before="360" w:after="480"/>
        <w:contextualSpacing w:val="0"/>
      </w:pPr>
      <w:r>
        <w:rPr>
          <w:rFonts w:ascii="Times New Roman" w:hAnsi="Times New Roman" w:cs="Times New Roman"/>
          <w:bCs w:val="0"/>
          <w:color w:val="000000"/>
          <w:sz w:val="22"/>
          <w:szCs w:val="22"/>
          <w:lang w:eastAsia="ja-JP"/>
        </w:rPr>
        <w:t xml:space="preserve">The natural solution is </w:t>
      </w:r>
      <w:r w:rsidR="0074076C" w:rsidRPr="00D6551A">
        <w:rPr>
          <w:rFonts w:ascii="Times New Roman" w:hAnsi="Times New Roman" w:cs="Times New Roman"/>
          <w:bCs w:val="0"/>
          <w:color w:val="000000"/>
          <w:sz w:val="22"/>
          <w:szCs w:val="22"/>
          <w:lang w:eastAsia="ja-JP"/>
        </w:rPr>
        <w:t>merging the robust data processing capabilities of an AVM with the qualitative assessment skills of appraisers. </w:t>
      </w:r>
      <w:r>
        <w:rPr>
          <w:rFonts w:ascii="Times New Roman" w:hAnsi="Times New Roman" w:cs="Times New Roman"/>
          <w:bCs w:val="0"/>
          <w:color w:val="000000"/>
          <w:sz w:val="22"/>
          <w:szCs w:val="22"/>
          <w:lang w:eastAsia="ja-JP"/>
        </w:rPr>
        <w:t xml:space="preserve">This would </w:t>
      </w:r>
      <w:r w:rsidR="00786D1D">
        <w:rPr>
          <w:rFonts w:ascii="Times New Roman" w:hAnsi="Times New Roman" w:cs="Times New Roman"/>
          <w:bCs w:val="0"/>
          <w:color w:val="000000"/>
          <w:sz w:val="22"/>
          <w:szCs w:val="22"/>
          <w:lang w:eastAsia="ja-JP"/>
        </w:rPr>
        <w:t>logically</w:t>
      </w:r>
      <w:r>
        <w:rPr>
          <w:rFonts w:ascii="Times New Roman" w:hAnsi="Times New Roman" w:cs="Times New Roman"/>
          <w:bCs w:val="0"/>
          <w:color w:val="000000"/>
          <w:sz w:val="22"/>
          <w:szCs w:val="22"/>
          <w:lang w:eastAsia="ja-JP"/>
        </w:rPr>
        <w:t xml:space="preserve"> </w:t>
      </w:r>
      <w:r w:rsidR="00786D1D">
        <w:rPr>
          <w:rFonts w:ascii="Times New Roman" w:hAnsi="Times New Roman" w:cs="Times New Roman"/>
          <w:bCs w:val="0"/>
          <w:color w:val="000000"/>
          <w:sz w:val="22"/>
          <w:szCs w:val="22"/>
          <w:lang w:eastAsia="ja-JP"/>
        </w:rPr>
        <w:t xml:space="preserve">take the form of </w:t>
      </w:r>
      <w:r>
        <w:rPr>
          <w:rFonts w:ascii="Times New Roman" w:hAnsi="Times New Roman" w:cs="Times New Roman"/>
          <w:bCs w:val="0"/>
          <w:color w:val="000000"/>
          <w:sz w:val="22"/>
          <w:szCs w:val="22"/>
          <w:lang w:eastAsia="ja-JP"/>
        </w:rPr>
        <w:t xml:space="preserve">an </w:t>
      </w:r>
      <w:r w:rsidR="0074076C" w:rsidRPr="00D6551A">
        <w:rPr>
          <w:rFonts w:ascii="Times New Roman" w:hAnsi="Times New Roman" w:cs="Times New Roman"/>
          <w:bCs w:val="0"/>
          <w:color w:val="000000"/>
          <w:sz w:val="22"/>
          <w:szCs w:val="22"/>
          <w:lang w:eastAsia="ja-JP"/>
        </w:rPr>
        <w:t xml:space="preserve">AVM </w:t>
      </w:r>
      <w:r>
        <w:rPr>
          <w:rFonts w:ascii="Times New Roman" w:hAnsi="Times New Roman" w:cs="Times New Roman"/>
          <w:bCs w:val="0"/>
          <w:color w:val="000000"/>
          <w:sz w:val="22"/>
          <w:szCs w:val="22"/>
          <w:lang w:eastAsia="ja-JP"/>
        </w:rPr>
        <w:t xml:space="preserve">augmented by qualitative assessments of </w:t>
      </w:r>
      <w:r w:rsidR="0074076C" w:rsidRPr="00D6551A">
        <w:rPr>
          <w:rFonts w:ascii="Times New Roman" w:hAnsi="Times New Roman" w:cs="Times New Roman"/>
          <w:bCs w:val="0"/>
          <w:color w:val="000000"/>
          <w:sz w:val="22"/>
          <w:szCs w:val="22"/>
          <w:lang w:eastAsia="ja-JP"/>
        </w:rPr>
        <w:t>physical property condition, market and location influences</w:t>
      </w:r>
      <w:r>
        <w:rPr>
          <w:rFonts w:ascii="Times New Roman" w:hAnsi="Times New Roman" w:cs="Times New Roman"/>
          <w:bCs w:val="0"/>
          <w:color w:val="000000"/>
          <w:sz w:val="22"/>
          <w:szCs w:val="22"/>
          <w:lang w:eastAsia="ja-JP"/>
        </w:rPr>
        <w:t xml:space="preserve">, etc. </w:t>
      </w:r>
      <w:r w:rsidR="007825F9">
        <w:rPr>
          <w:rFonts w:ascii="Times New Roman" w:hAnsi="Times New Roman" w:cs="Times New Roman"/>
          <w:bCs w:val="0"/>
          <w:color w:val="000000"/>
          <w:sz w:val="22"/>
          <w:szCs w:val="22"/>
          <w:lang w:eastAsia="ja-JP"/>
        </w:rPr>
        <w:t>We believe that modernizations along these lines will make appraisals more accessible by redeploying appraiser resources to their highest and best use</w:t>
      </w:r>
      <w:r w:rsidR="0037788D">
        <w:rPr>
          <w:rFonts w:ascii="Times New Roman" w:hAnsi="Times New Roman" w:cs="Times New Roman"/>
          <w:bCs w:val="0"/>
          <w:color w:val="000000"/>
          <w:sz w:val="22"/>
          <w:szCs w:val="22"/>
          <w:lang w:eastAsia="ja-JP"/>
        </w:rPr>
        <w:t>,</w:t>
      </w:r>
      <w:r w:rsidR="0057793D">
        <w:rPr>
          <w:rFonts w:ascii="Times New Roman" w:hAnsi="Times New Roman" w:cs="Times New Roman"/>
          <w:bCs w:val="0"/>
          <w:color w:val="000000"/>
          <w:sz w:val="22"/>
          <w:szCs w:val="22"/>
          <w:lang w:eastAsia="ja-JP"/>
        </w:rPr>
        <w:t xml:space="preserve"> </w:t>
      </w:r>
      <w:r w:rsidR="003F0146">
        <w:rPr>
          <w:rFonts w:ascii="Times New Roman" w:hAnsi="Times New Roman" w:cs="Times New Roman"/>
          <w:bCs w:val="0"/>
          <w:color w:val="000000"/>
          <w:sz w:val="22"/>
          <w:szCs w:val="22"/>
          <w:lang w:eastAsia="ja-JP"/>
        </w:rPr>
        <w:t>i.e.,</w:t>
      </w:r>
      <w:r w:rsidR="0057793D">
        <w:rPr>
          <w:rFonts w:ascii="Times New Roman" w:hAnsi="Times New Roman" w:cs="Times New Roman"/>
          <w:bCs w:val="0"/>
          <w:color w:val="000000"/>
          <w:sz w:val="22"/>
          <w:szCs w:val="22"/>
          <w:lang w:eastAsia="ja-JP"/>
        </w:rPr>
        <w:t xml:space="preserve"> solving the valuation issues surrounding complex properties</w:t>
      </w:r>
      <w:r w:rsidR="007825F9">
        <w:rPr>
          <w:rFonts w:ascii="Times New Roman" w:hAnsi="Times New Roman" w:cs="Times New Roman"/>
          <w:bCs w:val="0"/>
          <w:color w:val="000000"/>
          <w:sz w:val="22"/>
          <w:szCs w:val="22"/>
          <w:lang w:eastAsia="ja-JP"/>
        </w:rPr>
        <w:t>.</w:t>
      </w:r>
    </w:p>
    <w:tbl>
      <w:tblPr>
        <w:tblStyle w:val="TableGrid"/>
        <w:tblW w:w="0" w:type="auto"/>
        <w:tblLook w:val="04A0" w:firstRow="1" w:lastRow="0" w:firstColumn="1" w:lastColumn="0" w:noHBand="0" w:noVBand="1"/>
      </w:tblPr>
      <w:tblGrid>
        <w:gridCol w:w="1705"/>
        <w:gridCol w:w="6061"/>
      </w:tblGrid>
      <w:tr w:rsidR="00C264FF" w:rsidRPr="00C1617B" w14:paraId="00E6D136" w14:textId="77777777" w:rsidTr="00E21231">
        <w:tc>
          <w:tcPr>
            <w:tcW w:w="1705" w:type="dxa"/>
            <w:shd w:val="clear" w:color="auto" w:fill="1A497B"/>
          </w:tcPr>
          <w:p w14:paraId="3697DD93" w14:textId="2FEA3330" w:rsidR="00C264FF" w:rsidRPr="00C1617B" w:rsidRDefault="00C264FF" w:rsidP="00E21231">
            <w:pPr>
              <w:rPr>
                <w:rFonts w:ascii="Times New Roman" w:hAnsi="Times New Roman" w:cs="Times New Roman"/>
                <w:color w:val="FFFFFF" w:themeColor="background1"/>
                <w:sz w:val="22"/>
                <w:szCs w:val="22"/>
              </w:rPr>
            </w:pPr>
            <w:r w:rsidRPr="00C1617B">
              <w:rPr>
                <w:rFonts w:ascii="Times New Roman" w:hAnsi="Times New Roman" w:cs="Times New Roman"/>
                <w:color w:val="FFFFFF" w:themeColor="background1"/>
                <w:sz w:val="22"/>
                <w:szCs w:val="22"/>
              </w:rPr>
              <w:t xml:space="preserve">Question </w:t>
            </w:r>
            <w:r>
              <w:rPr>
                <w:rFonts w:ascii="Times New Roman" w:hAnsi="Times New Roman" w:cs="Times New Roman"/>
                <w:color w:val="FFFFFF" w:themeColor="background1"/>
                <w:sz w:val="22"/>
                <w:szCs w:val="22"/>
              </w:rPr>
              <w:t>C1.</w:t>
            </w:r>
            <w:r w:rsidR="00480C57">
              <w:rPr>
                <w:rFonts w:ascii="Times New Roman" w:hAnsi="Times New Roman" w:cs="Times New Roman"/>
                <w:color w:val="FFFFFF" w:themeColor="background1"/>
                <w:sz w:val="22"/>
                <w:szCs w:val="22"/>
              </w:rPr>
              <w:t>2</w:t>
            </w:r>
            <w:r>
              <w:rPr>
                <w:rFonts w:ascii="Times New Roman" w:hAnsi="Times New Roman" w:cs="Times New Roman"/>
                <w:color w:val="FFFFFF" w:themeColor="background1"/>
                <w:sz w:val="22"/>
                <w:szCs w:val="22"/>
              </w:rPr>
              <w:t>:</w:t>
            </w:r>
          </w:p>
        </w:tc>
        <w:tc>
          <w:tcPr>
            <w:tcW w:w="6061" w:type="dxa"/>
          </w:tcPr>
          <w:p w14:paraId="7B1C1F39" w14:textId="670766E5" w:rsidR="00C264FF" w:rsidRPr="008E4CCE" w:rsidRDefault="00480C57" w:rsidP="00480C57">
            <w:pPr>
              <w:autoSpaceDE w:val="0"/>
              <w:autoSpaceDN w:val="0"/>
              <w:adjustRightInd w:val="0"/>
              <w:rPr>
                <w:rFonts w:ascii="Times New Roman" w:hAnsi="Times New Roman" w:cs="Times New Roman"/>
                <w:color w:val="000000"/>
                <w:sz w:val="22"/>
                <w:szCs w:val="22"/>
              </w:rPr>
            </w:pPr>
            <w:r w:rsidRPr="00480C57">
              <w:rPr>
                <w:rFonts w:ascii="Times New Roman" w:hAnsi="Times New Roman" w:cs="Times New Roman"/>
                <w:color w:val="000000"/>
                <w:sz w:val="22"/>
                <w:szCs w:val="22"/>
              </w:rPr>
              <w:t>What would be the impact of appraisal policy and process improvements to the mid</w:t>
            </w:r>
            <w:r>
              <w:rPr>
                <w:rFonts w:ascii="Times New Roman" w:hAnsi="Times New Roman" w:cs="Times New Roman"/>
                <w:color w:val="000000"/>
                <w:sz w:val="22"/>
                <w:szCs w:val="22"/>
              </w:rPr>
              <w:t xml:space="preserve"> </w:t>
            </w:r>
            <w:r w:rsidRPr="00480C57">
              <w:rPr>
                <w:rFonts w:ascii="Times New Roman" w:hAnsi="Times New Roman" w:cs="Times New Roman"/>
                <w:color w:val="000000"/>
                <w:sz w:val="22"/>
                <w:szCs w:val="22"/>
              </w:rPr>
              <w:t>or late career appraiser? Do you believe late career appraisers would delay</w:t>
            </w:r>
            <w:r>
              <w:rPr>
                <w:rFonts w:ascii="Times New Roman" w:hAnsi="Times New Roman" w:cs="Times New Roman"/>
                <w:color w:val="000000"/>
                <w:sz w:val="22"/>
                <w:szCs w:val="22"/>
              </w:rPr>
              <w:t xml:space="preserve"> </w:t>
            </w:r>
            <w:r w:rsidRPr="00480C57">
              <w:rPr>
                <w:rFonts w:ascii="Times New Roman" w:hAnsi="Times New Roman" w:cs="Times New Roman"/>
                <w:color w:val="000000"/>
                <w:sz w:val="22"/>
                <w:szCs w:val="22"/>
              </w:rPr>
              <w:t>retirement if they could focus on specific valuation services like desktop appraisals?</w:t>
            </w:r>
            <w:r>
              <w:rPr>
                <w:rFonts w:ascii="Times New Roman" w:hAnsi="Times New Roman" w:cs="Times New Roman"/>
                <w:color w:val="000000"/>
                <w:sz w:val="22"/>
                <w:szCs w:val="22"/>
              </w:rPr>
              <w:t xml:space="preserve"> </w:t>
            </w:r>
            <w:r w:rsidRPr="00480C57">
              <w:rPr>
                <w:rFonts w:ascii="Times New Roman" w:hAnsi="Times New Roman" w:cs="Times New Roman"/>
                <w:color w:val="000000"/>
                <w:sz w:val="22"/>
                <w:szCs w:val="22"/>
              </w:rPr>
              <w:t>Or alternatively, would late career appraisers cease operations due to technology</w:t>
            </w:r>
            <w:r>
              <w:rPr>
                <w:rFonts w:ascii="Times New Roman" w:hAnsi="Times New Roman" w:cs="Times New Roman"/>
                <w:color w:val="000000"/>
                <w:sz w:val="22"/>
                <w:szCs w:val="22"/>
              </w:rPr>
              <w:t xml:space="preserve"> </w:t>
            </w:r>
            <w:r w:rsidRPr="00480C57">
              <w:rPr>
                <w:rFonts w:ascii="Times New Roman" w:hAnsi="Times New Roman" w:cs="Times New Roman"/>
                <w:color w:val="000000"/>
                <w:sz w:val="22"/>
                <w:szCs w:val="22"/>
              </w:rPr>
              <w:t>adoption challenges?</w:t>
            </w:r>
          </w:p>
        </w:tc>
      </w:tr>
    </w:tbl>
    <w:p w14:paraId="31F4AFB4" w14:textId="3B6A5587" w:rsidR="00C264FF" w:rsidRDefault="000F6245" w:rsidP="00C264FF">
      <w:pPr>
        <w:pStyle w:val="Closing"/>
        <w:spacing w:before="360" w:after="480"/>
        <w:rPr>
          <w:rFonts w:ascii="Times New Roman" w:hAnsi="Times New Roman" w:cs="Times New Roman"/>
          <w:bCs w:val="0"/>
          <w:color w:val="000000"/>
          <w:sz w:val="22"/>
          <w:szCs w:val="22"/>
          <w:lang w:eastAsia="ja-JP"/>
        </w:rPr>
      </w:pPr>
      <w:r>
        <w:rPr>
          <w:rFonts w:ascii="Times New Roman" w:hAnsi="Times New Roman" w:cs="Times New Roman"/>
          <w:bCs w:val="0"/>
          <w:color w:val="000000"/>
          <w:sz w:val="22"/>
          <w:szCs w:val="22"/>
          <w:lang w:eastAsia="ja-JP"/>
        </w:rPr>
        <w:lastRenderedPageBreak/>
        <w:t>The appraisal industry has been through many transitions, and in each one, experienced appraisers have chosen to retire instead of struggle with the change. Our hope is that proactive management of the transition can minimize the losses to the industry from premature retirements.</w:t>
      </w:r>
      <w:r w:rsidR="005267A3">
        <w:rPr>
          <w:rFonts w:ascii="Times New Roman" w:hAnsi="Times New Roman" w:cs="Times New Roman"/>
          <w:bCs w:val="0"/>
          <w:color w:val="000000"/>
          <w:sz w:val="22"/>
          <w:szCs w:val="22"/>
          <w:lang w:eastAsia="ja-JP"/>
        </w:rPr>
        <w:t xml:space="preserve"> </w:t>
      </w:r>
    </w:p>
    <w:p w14:paraId="75B88751" w14:textId="79E653B5" w:rsidR="000F6245" w:rsidRDefault="000F6245" w:rsidP="000F6245">
      <w:pPr>
        <w:pStyle w:val="Signature"/>
        <w:spacing w:before="360" w:after="480"/>
        <w:contextualSpacing w:val="0"/>
        <w:rPr>
          <w:rFonts w:ascii="Times New Roman" w:hAnsi="Times New Roman" w:cs="Times New Roman"/>
          <w:bCs w:val="0"/>
          <w:color w:val="000000"/>
          <w:sz w:val="22"/>
          <w:szCs w:val="22"/>
          <w:lang w:eastAsia="ja-JP"/>
        </w:rPr>
      </w:pPr>
      <w:r>
        <w:rPr>
          <w:rFonts w:ascii="Times New Roman" w:hAnsi="Times New Roman" w:cs="Times New Roman"/>
          <w:bCs w:val="0"/>
          <w:color w:val="000000"/>
          <w:sz w:val="22"/>
          <w:szCs w:val="22"/>
          <w:lang w:eastAsia="ja-JP"/>
        </w:rPr>
        <w:t xml:space="preserve">Markets and innovation </w:t>
      </w:r>
      <w:r w:rsidR="0057793D">
        <w:rPr>
          <w:rFonts w:ascii="Times New Roman" w:hAnsi="Times New Roman" w:cs="Times New Roman"/>
          <w:bCs w:val="0"/>
          <w:color w:val="000000"/>
          <w:sz w:val="22"/>
          <w:szCs w:val="22"/>
          <w:lang w:eastAsia="ja-JP"/>
        </w:rPr>
        <w:t>operate</w:t>
      </w:r>
      <w:r>
        <w:rPr>
          <w:rFonts w:ascii="Times New Roman" w:hAnsi="Times New Roman" w:cs="Times New Roman"/>
          <w:bCs w:val="0"/>
          <w:color w:val="000000"/>
          <w:sz w:val="22"/>
          <w:szCs w:val="22"/>
          <w:lang w:eastAsia="ja-JP"/>
        </w:rPr>
        <w:t xml:space="preserve"> by providing the incentive to blaze new paths to the goal of producing more from less, </w:t>
      </w:r>
      <w:r w:rsidR="007825F9">
        <w:rPr>
          <w:rFonts w:ascii="Times New Roman" w:hAnsi="Times New Roman" w:cs="Times New Roman"/>
          <w:bCs w:val="0"/>
          <w:color w:val="000000"/>
          <w:sz w:val="22"/>
          <w:szCs w:val="22"/>
          <w:lang w:eastAsia="ja-JP"/>
        </w:rPr>
        <w:t>i.e</w:t>
      </w:r>
      <w:r>
        <w:rPr>
          <w:rFonts w:ascii="Times New Roman" w:hAnsi="Times New Roman" w:cs="Times New Roman"/>
          <w:bCs w:val="0"/>
          <w:color w:val="000000"/>
          <w:sz w:val="22"/>
          <w:szCs w:val="22"/>
          <w:lang w:eastAsia="ja-JP"/>
        </w:rPr>
        <w:t>., increasing productivity. Unfortunately, many appraisers already experience</w:t>
      </w:r>
      <w:r w:rsidR="0057793D">
        <w:rPr>
          <w:rFonts w:ascii="Times New Roman" w:hAnsi="Times New Roman" w:cs="Times New Roman"/>
          <w:bCs w:val="0"/>
          <w:color w:val="000000"/>
          <w:sz w:val="22"/>
          <w:szCs w:val="22"/>
          <w:lang w:eastAsia="ja-JP"/>
        </w:rPr>
        <w:t>d the</w:t>
      </w:r>
      <w:r>
        <w:rPr>
          <w:rFonts w:ascii="Times New Roman" w:hAnsi="Times New Roman" w:cs="Times New Roman"/>
          <w:bCs w:val="0"/>
          <w:color w:val="000000"/>
          <w:sz w:val="22"/>
          <w:szCs w:val="22"/>
          <w:lang w:eastAsia="ja-JP"/>
        </w:rPr>
        <w:t xml:space="preserve"> recent changes as </w:t>
      </w:r>
      <w:r w:rsidR="0057793D">
        <w:rPr>
          <w:rFonts w:ascii="Times New Roman" w:hAnsi="Times New Roman" w:cs="Times New Roman"/>
          <w:bCs w:val="0"/>
          <w:color w:val="000000"/>
          <w:sz w:val="22"/>
          <w:szCs w:val="22"/>
          <w:lang w:eastAsia="ja-JP"/>
        </w:rPr>
        <w:t xml:space="preserve">an </w:t>
      </w:r>
      <w:r>
        <w:rPr>
          <w:rFonts w:ascii="Times New Roman" w:hAnsi="Times New Roman" w:cs="Times New Roman"/>
          <w:bCs w:val="0"/>
          <w:color w:val="000000"/>
          <w:sz w:val="22"/>
          <w:szCs w:val="22"/>
          <w:lang w:eastAsia="ja-JP"/>
        </w:rPr>
        <w:t xml:space="preserve">ever-increasing pressure to extract more from them for less remuneration. We recommend two approaches to retaining appraisal talent in the industry. </w:t>
      </w:r>
    </w:p>
    <w:p w14:paraId="2C0ECE09" w14:textId="77777777" w:rsidR="00117AB8" w:rsidRDefault="000F6245" w:rsidP="00117AB8">
      <w:pPr>
        <w:pStyle w:val="Signature"/>
        <w:spacing w:before="360" w:after="480"/>
        <w:contextualSpacing w:val="0"/>
        <w:rPr>
          <w:rFonts w:ascii="Times New Roman" w:hAnsi="Times New Roman" w:cs="Times New Roman"/>
          <w:bCs w:val="0"/>
          <w:color w:val="000000"/>
          <w:sz w:val="22"/>
          <w:szCs w:val="22"/>
          <w:lang w:eastAsia="ja-JP"/>
        </w:rPr>
      </w:pPr>
      <w:r>
        <w:rPr>
          <w:rFonts w:ascii="Times New Roman" w:hAnsi="Times New Roman" w:cs="Times New Roman"/>
          <w:bCs w:val="0"/>
          <w:color w:val="000000"/>
          <w:sz w:val="22"/>
          <w:szCs w:val="22"/>
          <w:lang w:eastAsia="ja-JP"/>
        </w:rPr>
        <w:t xml:space="preserve">First, these innovations – appraisal waivers, AVMs, hybrids, etc. – should be implemented in such a way as to focus appraisers on their highest and best use (for which they should be paid commensurate with their value-added). In other words, </w:t>
      </w:r>
      <w:r w:rsidR="00117AB8">
        <w:rPr>
          <w:rFonts w:ascii="Times New Roman" w:hAnsi="Times New Roman" w:cs="Times New Roman"/>
          <w:bCs w:val="0"/>
          <w:color w:val="000000"/>
          <w:sz w:val="22"/>
          <w:szCs w:val="22"/>
          <w:lang w:eastAsia="ja-JP"/>
        </w:rPr>
        <w:t>if some of the productivity gained by implementing new policies and processes can accrue to the appraisers, then they will experience these changes as increases in productivity and earning potential, and they will be more supportive.</w:t>
      </w:r>
      <w:r>
        <w:rPr>
          <w:rFonts w:ascii="Times New Roman" w:hAnsi="Times New Roman" w:cs="Times New Roman"/>
          <w:bCs w:val="0"/>
          <w:color w:val="000000"/>
          <w:sz w:val="22"/>
          <w:szCs w:val="22"/>
          <w:lang w:eastAsia="ja-JP"/>
        </w:rPr>
        <w:t xml:space="preserve"> </w:t>
      </w:r>
    </w:p>
    <w:p w14:paraId="158F7493" w14:textId="093E315A" w:rsidR="00117AB8" w:rsidRPr="00117AB8" w:rsidRDefault="00117AB8" w:rsidP="00D6551A">
      <w:pPr>
        <w:pStyle w:val="Signature"/>
        <w:spacing w:before="360" w:after="480"/>
        <w:contextualSpacing w:val="0"/>
        <w:rPr>
          <w:rFonts w:ascii="Times New Roman" w:hAnsi="Times New Roman" w:cs="Times New Roman"/>
          <w:bCs w:val="0"/>
          <w:color w:val="000000"/>
          <w:sz w:val="22"/>
          <w:szCs w:val="22"/>
          <w:lang w:eastAsia="ja-JP"/>
        </w:rPr>
      </w:pPr>
      <w:r w:rsidRPr="00D6551A">
        <w:rPr>
          <w:rFonts w:ascii="Times New Roman" w:hAnsi="Times New Roman" w:cs="Times New Roman"/>
          <w:bCs w:val="0"/>
          <w:color w:val="000000"/>
          <w:sz w:val="22"/>
          <w:szCs w:val="22"/>
          <w:lang w:eastAsia="ja-JP"/>
        </w:rPr>
        <w:t xml:space="preserve">Second, </w:t>
      </w:r>
      <w:r>
        <w:rPr>
          <w:rFonts w:ascii="Times New Roman" w:hAnsi="Times New Roman" w:cs="Times New Roman"/>
          <w:bCs w:val="0"/>
          <w:color w:val="000000"/>
          <w:sz w:val="22"/>
          <w:szCs w:val="22"/>
          <w:lang w:eastAsia="ja-JP"/>
        </w:rPr>
        <w:t xml:space="preserve">a change management approach to the transition that uses effective communication can help reduce frustration for appraisers. If appraisers are left to figure out on their own how to avoid “creative destruction,” they will likely have a more negative opinion of modernization. However, if they are actively led through industry communications to understand the advantages of outsourcing lower value-added activities and </w:t>
      </w:r>
      <w:r w:rsidR="007825F9">
        <w:rPr>
          <w:rFonts w:ascii="Times New Roman" w:hAnsi="Times New Roman" w:cs="Times New Roman"/>
          <w:bCs w:val="0"/>
          <w:color w:val="000000"/>
          <w:sz w:val="22"/>
          <w:szCs w:val="22"/>
          <w:lang w:eastAsia="ja-JP"/>
        </w:rPr>
        <w:t xml:space="preserve">being </w:t>
      </w:r>
      <w:r>
        <w:rPr>
          <w:rFonts w:ascii="Times New Roman" w:hAnsi="Times New Roman" w:cs="Times New Roman"/>
          <w:bCs w:val="0"/>
          <w:color w:val="000000"/>
          <w:sz w:val="22"/>
          <w:szCs w:val="22"/>
          <w:lang w:eastAsia="ja-JP"/>
        </w:rPr>
        <w:t>allowed to focus on higher value-added activities, the</w:t>
      </w:r>
      <w:r w:rsidR="0074076C">
        <w:rPr>
          <w:rFonts w:ascii="Times New Roman" w:hAnsi="Times New Roman" w:cs="Times New Roman"/>
          <w:bCs w:val="0"/>
          <w:color w:val="000000"/>
          <w:sz w:val="22"/>
          <w:szCs w:val="22"/>
          <w:lang w:eastAsia="ja-JP"/>
        </w:rPr>
        <w:t>y may have greater buy-in.</w:t>
      </w:r>
    </w:p>
    <w:p w14:paraId="670A8724" w14:textId="77777777" w:rsidR="00C264FF" w:rsidRPr="008E4CCE" w:rsidRDefault="00C264FF" w:rsidP="00C264FF">
      <w:pPr>
        <w:pStyle w:val="Closing"/>
        <w:spacing w:before="360" w:after="480"/>
        <w:rPr>
          <w:rFonts w:ascii="Times New Roman" w:hAnsi="Times New Roman" w:cs="Times New Roman"/>
          <w:bCs w:val="0"/>
          <w:color w:val="000000"/>
          <w:sz w:val="22"/>
          <w:szCs w:val="22"/>
          <w:lang w:eastAsia="ja-JP"/>
        </w:rPr>
      </w:pPr>
    </w:p>
    <w:p w14:paraId="24A84ACF" w14:textId="7E57B1E0" w:rsidR="00F3352F" w:rsidRDefault="00F3352F">
      <w:pPr>
        <w:rPr>
          <w:bCs/>
          <w:color w:val="262626" w:themeColor="text1" w:themeTint="D9"/>
          <w:szCs w:val="18"/>
        </w:rPr>
      </w:pPr>
      <w:r>
        <w:br w:type="page"/>
      </w:r>
    </w:p>
    <w:p w14:paraId="054FE3FA" w14:textId="6E013D09" w:rsidR="00095854" w:rsidRDefault="00F3352F" w:rsidP="00095854">
      <w:pPr>
        <w:pStyle w:val="Signature"/>
        <w:rPr>
          <w:rFonts w:ascii="Times New Roman" w:hAnsi="Times New Roman" w:cs="Times New Roman"/>
          <w:sz w:val="22"/>
          <w:szCs w:val="22"/>
          <w:lang w:eastAsia="ja-JP"/>
        </w:rPr>
      </w:pPr>
      <w:r w:rsidRPr="00AD0D38">
        <w:rPr>
          <w:rFonts w:ascii="Times New Roman" w:hAnsi="Times New Roman" w:cs="Times New Roman"/>
          <w:b/>
          <w:bCs w:val="0"/>
          <w:sz w:val="22"/>
          <w:szCs w:val="22"/>
          <w:lang w:eastAsia="ja-JP"/>
        </w:rPr>
        <w:lastRenderedPageBreak/>
        <w:t>Exhibit 1</w:t>
      </w:r>
      <w:r w:rsidRPr="00AD0D38">
        <w:rPr>
          <w:rFonts w:ascii="Times New Roman" w:hAnsi="Times New Roman" w:cs="Times New Roman"/>
          <w:sz w:val="22"/>
          <w:szCs w:val="22"/>
          <w:lang w:eastAsia="ja-JP"/>
        </w:rPr>
        <w:t>: Model Preference Table</w:t>
      </w:r>
      <w:r w:rsidR="00D60C5F" w:rsidRPr="00AD0D38">
        <w:rPr>
          <w:rFonts w:ascii="Times New Roman" w:hAnsi="Times New Roman" w:cs="Times New Roman"/>
          <w:sz w:val="22"/>
          <w:szCs w:val="22"/>
          <w:lang w:eastAsia="ja-JP"/>
        </w:rPr>
        <w:t xml:space="preserve"> example</w:t>
      </w:r>
      <w:r w:rsidR="00224D6C">
        <w:rPr>
          <w:rFonts w:ascii="Times New Roman" w:hAnsi="Times New Roman" w:cs="Times New Roman"/>
          <w:sz w:val="22"/>
          <w:szCs w:val="22"/>
          <w:lang w:eastAsia="ja-JP"/>
        </w:rPr>
        <w:t>s</w:t>
      </w:r>
      <w:r w:rsidR="00D60C5F" w:rsidRPr="00AD0D38">
        <w:rPr>
          <w:rFonts w:ascii="Times New Roman" w:hAnsi="Times New Roman" w:cs="Times New Roman"/>
          <w:sz w:val="22"/>
          <w:szCs w:val="22"/>
          <w:lang w:eastAsia="ja-JP"/>
        </w:rPr>
        <w:t xml:space="preserve">. </w:t>
      </w:r>
      <w:r w:rsidR="00E44A08">
        <w:rPr>
          <w:rFonts w:ascii="Times New Roman" w:hAnsi="Times New Roman" w:cs="Times New Roman"/>
          <w:sz w:val="22"/>
          <w:szCs w:val="22"/>
          <w:lang w:eastAsia="ja-JP"/>
        </w:rPr>
        <w:t>Here are two</w:t>
      </w:r>
      <w:r w:rsidR="00D60C5F" w:rsidRPr="00AD0D38">
        <w:rPr>
          <w:rFonts w:ascii="Times New Roman" w:hAnsi="Times New Roman" w:cs="Times New Roman"/>
          <w:sz w:val="22"/>
          <w:szCs w:val="22"/>
          <w:lang w:eastAsia="ja-JP"/>
        </w:rPr>
        <w:t xml:space="preserve"> small snapshot</w:t>
      </w:r>
      <w:r w:rsidR="00E44A08">
        <w:rPr>
          <w:rFonts w:ascii="Times New Roman" w:hAnsi="Times New Roman" w:cs="Times New Roman"/>
          <w:sz w:val="22"/>
          <w:szCs w:val="22"/>
          <w:lang w:eastAsia="ja-JP"/>
        </w:rPr>
        <w:t>s</w:t>
      </w:r>
      <w:r w:rsidR="00D60C5F" w:rsidRPr="00AD0D38">
        <w:rPr>
          <w:rFonts w:ascii="Times New Roman" w:hAnsi="Times New Roman" w:cs="Times New Roman"/>
          <w:sz w:val="22"/>
          <w:szCs w:val="22"/>
          <w:lang w:eastAsia="ja-JP"/>
        </w:rPr>
        <w:t xml:space="preserve"> of a large table that optimizes the AVM choice based on 3 criteria: geography (in </w:t>
      </w:r>
      <w:r w:rsidR="005E7771" w:rsidRPr="00AD0D38">
        <w:rPr>
          <w:rFonts w:ascii="Times New Roman" w:hAnsi="Times New Roman" w:cs="Times New Roman"/>
          <w:sz w:val="22"/>
          <w:szCs w:val="22"/>
          <w:lang w:eastAsia="ja-JP"/>
        </w:rPr>
        <w:t>the first</w:t>
      </w:r>
      <w:r w:rsidR="00D60C5F" w:rsidRPr="00AD0D38">
        <w:rPr>
          <w:rFonts w:ascii="Times New Roman" w:hAnsi="Times New Roman" w:cs="Times New Roman"/>
          <w:sz w:val="22"/>
          <w:szCs w:val="22"/>
          <w:lang w:eastAsia="ja-JP"/>
        </w:rPr>
        <w:t xml:space="preserve"> case, Los Angeles County</w:t>
      </w:r>
      <w:r w:rsidR="005E7771">
        <w:rPr>
          <w:rFonts w:ascii="Times New Roman" w:hAnsi="Times New Roman" w:cs="Times New Roman"/>
          <w:sz w:val="22"/>
          <w:szCs w:val="22"/>
          <w:lang w:eastAsia="ja-JP"/>
        </w:rPr>
        <w:t>, CA and in the second, Fairfax County, VA</w:t>
      </w:r>
      <w:r w:rsidR="00D60C5F" w:rsidRPr="00AD0D38">
        <w:rPr>
          <w:rFonts w:ascii="Times New Roman" w:hAnsi="Times New Roman" w:cs="Times New Roman"/>
          <w:sz w:val="22"/>
          <w:szCs w:val="22"/>
          <w:lang w:eastAsia="ja-JP"/>
        </w:rPr>
        <w:t>), property type (SFR, Condo</w:t>
      </w:r>
      <w:r w:rsidR="002349A7">
        <w:rPr>
          <w:rFonts w:ascii="Times New Roman" w:hAnsi="Times New Roman" w:cs="Times New Roman"/>
          <w:sz w:val="22"/>
          <w:szCs w:val="22"/>
          <w:lang w:eastAsia="ja-JP"/>
        </w:rPr>
        <w:t>, TRH</w:t>
      </w:r>
      <w:r w:rsidR="00D60C5F" w:rsidRPr="00AD0D38">
        <w:rPr>
          <w:rFonts w:ascii="Times New Roman" w:hAnsi="Times New Roman" w:cs="Times New Roman"/>
          <w:sz w:val="22"/>
          <w:szCs w:val="22"/>
          <w:lang w:eastAsia="ja-JP"/>
        </w:rPr>
        <w:t xml:space="preserve"> and PUD) and price tier (in this case, just three). Even though </w:t>
      </w:r>
      <w:r w:rsidR="005E7771">
        <w:rPr>
          <w:rFonts w:ascii="Times New Roman" w:hAnsi="Times New Roman" w:cs="Times New Roman"/>
          <w:sz w:val="22"/>
          <w:szCs w:val="22"/>
          <w:lang w:eastAsia="ja-JP"/>
        </w:rPr>
        <w:t xml:space="preserve">these </w:t>
      </w:r>
      <w:r w:rsidR="00D60C5F" w:rsidRPr="00AD0D38">
        <w:rPr>
          <w:rFonts w:ascii="Times New Roman" w:hAnsi="Times New Roman" w:cs="Times New Roman"/>
          <w:sz w:val="22"/>
          <w:szCs w:val="22"/>
          <w:lang w:eastAsia="ja-JP"/>
        </w:rPr>
        <w:t>example</w:t>
      </w:r>
      <w:r w:rsidR="005E7771">
        <w:rPr>
          <w:rFonts w:ascii="Times New Roman" w:hAnsi="Times New Roman" w:cs="Times New Roman"/>
          <w:sz w:val="22"/>
          <w:szCs w:val="22"/>
          <w:lang w:eastAsia="ja-JP"/>
        </w:rPr>
        <w:t>s are</w:t>
      </w:r>
      <w:r w:rsidR="00D60C5F" w:rsidRPr="00AD0D38">
        <w:rPr>
          <w:rFonts w:ascii="Times New Roman" w:hAnsi="Times New Roman" w:cs="Times New Roman"/>
          <w:sz w:val="22"/>
          <w:szCs w:val="22"/>
          <w:lang w:eastAsia="ja-JP"/>
        </w:rPr>
        <w:t xml:space="preserve"> “blinded” to remove the actual AVM names, a couple inferences can be made based on the results. First, in some sub-categories, there may be no models that performed well enough to be appropriate for use. Second, very often the best model in one category will not be first (or even in the top five) in an adjacent category.</w:t>
      </w:r>
      <w:r w:rsidR="00E44A08">
        <w:rPr>
          <w:rFonts w:ascii="Times New Roman" w:hAnsi="Times New Roman" w:cs="Times New Roman"/>
          <w:sz w:val="22"/>
          <w:szCs w:val="22"/>
          <w:lang w:eastAsia="ja-JP"/>
        </w:rPr>
        <w:t xml:space="preserve"> </w:t>
      </w:r>
    </w:p>
    <w:p w14:paraId="07B5985B" w14:textId="36AB84BC" w:rsidR="009422BA" w:rsidRDefault="009422BA" w:rsidP="001A41F4">
      <w:pPr>
        <w:spacing w:line="240" w:lineRule="auto"/>
        <w:rPr>
          <w:rFonts w:ascii="Times New Roman" w:hAnsi="Times New Roman" w:cs="Times New Roman"/>
          <w:sz w:val="22"/>
          <w:szCs w:val="22"/>
        </w:rPr>
      </w:pPr>
      <w:r w:rsidRPr="00C22A27">
        <w:rPr>
          <w:rFonts w:ascii="Times New Roman" w:hAnsi="Times New Roman" w:cs="Times New Roman"/>
          <w:sz w:val="22"/>
          <w:szCs w:val="22"/>
        </w:rPr>
        <w:t xml:space="preserve">It is interesting to note that </w:t>
      </w:r>
      <w:r>
        <w:rPr>
          <w:rFonts w:ascii="Times New Roman" w:hAnsi="Times New Roman" w:cs="Times New Roman"/>
          <w:sz w:val="22"/>
          <w:szCs w:val="22"/>
        </w:rPr>
        <w:t>in the nine categories shown in Los Angeles</w:t>
      </w:r>
      <w:r w:rsidR="00BF1474">
        <w:rPr>
          <w:rFonts w:ascii="Times New Roman" w:hAnsi="Times New Roman" w:cs="Times New Roman"/>
          <w:sz w:val="22"/>
          <w:szCs w:val="22"/>
        </w:rPr>
        <w:t xml:space="preserve"> (three property types x three price tiers)</w:t>
      </w:r>
      <w:r>
        <w:rPr>
          <w:rFonts w:ascii="Times New Roman" w:hAnsi="Times New Roman" w:cs="Times New Roman"/>
          <w:sz w:val="22"/>
          <w:szCs w:val="22"/>
        </w:rPr>
        <w:t xml:space="preserve">, four models appear six times (models 6, 7, 17 and 21), but no model appears in every category. In the Fairfax, VA table’s nine categories, no model appears more than five times (models 4, 6, and 21). </w:t>
      </w:r>
      <w:r w:rsidR="00BF1474">
        <w:rPr>
          <w:rFonts w:ascii="Times New Roman" w:hAnsi="Times New Roman" w:cs="Times New Roman"/>
          <w:sz w:val="22"/>
          <w:szCs w:val="22"/>
        </w:rPr>
        <w:t>These results demonstrate that no single model is best across all the subcategories, and in fact, no single model is even capable of serving all of these niches.</w:t>
      </w:r>
      <w:r>
        <w:rPr>
          <w:rFonts w:ascii="Times New Roman" w:hAnsi="Times New Roman" w:cs="Times New Roman"/>
          <w:sz w:val="22"/>
          <w:szCs w:val="22"/>
        </w:rPr>
        <w:t xml:space="preserve"> </w:t>
      </w:r>
    </w:p>
    <w:p w14:paraId="3FAD229F" w14:textId="6D0FE9E0" w:rsidR="00C5494D" w:rsidRPr="009422BA" w:rsidRDefault="00C5494D" w:rsidP="00C22A27">
      <w:pPr>
        <w:rPr>
          <w:rFonts w:ascii="Times New Roman" w:hAnsi="Times New Roman" w:cs="Times New Roman"/>
          <w:sz w:val="22"/>
          <w:szCs w:val="22"/>
        </w:rPr>
      </w:pPr>
      <w:r>
        <w:rPr>
          <w:noProof/>
        </w:rPr>
        <mc:AlternateContent>
          <mc:Choice Requires="wps">
            <w:drawing>
              <wp:anchor distT="0" distB="0" distL="114300" distR="114300" simplePos="0" relativeHeight="251672576" behindDoc="0" locked="0" layoutInCell="1" allowOverlap="1" wp14:anchorId="4A6C0569" wp14:editId="1ADC4B8A">
                <wp:simplePos x="0" y="0"/>
                <wp:positionH relativeFrom="column">
                  <wp:posOffset>1270</wp:posOffset>
                </wp:positionH>
                <wp:positionV relativeFrom="paragraph">
                  <wp:posOffset>203835</wp:posOffset>
                </wp:positionV>
                <wp:extent cx="4937760" cy="226060"/>
                <wp:effectExtent l="0" t="0" r="0" b="2540"/>
                <wp:wrapTopAndBottom/>
                <wp:docPr id="3" name="Text Box 3"/>
                <wp:cNvGraphicFramePr/>
                <a:graphic xmlns:a="http://schemas.openxmlformats.org/drawingml/2006/main">
                  <a:graphicData uri="http://schemas.microsoft.com/office/word/2010/wordprocessingShape">
                    <wps:wsp>
                      <wps:cNvSpPr txBox="1"/>
                      <wps:spPr>
                        <a:xfrm>
                          <a:off x="0" y="0"/>
                          <a:ext cx="4937760" cy="226060"/>
                        </a:xfrm>
                        <a:prstGeom prst="rect">
                          <a:avLst/>
                        </a:prstGeom>
                        <a:solidFill>
                          <a:prstClr val="white"/>
                        </a:solidFill>
                        <a:ln>
                          <a:noFill/>
                        </a:ln>
                      </wps:spPr>
                      <wps:txbx>
                        <w:txbxContent>
                          <w:p w14:paraId="38DDC666" w14:textId="740B36B6" w:rsidR="00C5494D" w:rsidRPr="00383F43" w:rsidRDefault="00C5494D" w:rsidP="00C22A27">
                            <w:pPr>
                              <w:pStyle w:val="Caption"/>
                              <w:rPr>
                                <w:rFonts w:ascii="Times New Roman" w:hAnsi="Times New Roman" w:cs="Times New Roman"/>
                                <w:noProof/>
                              </w:rPr>
                            </w:pPr>
                            <w:r>
                              <w:rPr>
                                <w:rFonts w:ascii="Times New Roman" w:hAnsi="Times New Roman" w:cs="Times New Roman"/>
                                <w:noProof/>
                              </w:rPr>
                              <w:fldChar w:fldCharType="begin"/>
                            </w:r>
                            <w:r>
                              <w:rPr>
                                <w:rFonts w:ascii="Times New Roman" w:hAnsi="Times New Roman" w:cs="Times New Roman"/>
                                <w:noProof/>
                              </w:rPr>
                              <w:instrText xml:space="preserve"> SEQ Figure \* ARABIC </w:instrText>
                            </w:r>
                            <w:r>
                              <w:rPr>
                                <w:rFonts w:ascii="Times New Roman" w:hAnsi="Times New Roman" w:cs="Times New Roman"/>
                                <w:noProof/>
                              </w:rPr>
                              <w:fldChar w:fldCharType="separate"/>
                            </w:r>
                            <w:r>
                              <w:rPr>
                                <w:rFonts w:ascii="Times New Roman" w:hAnsi="Times New Roman" w:cs="Times New Roman"/>
                                <w:noProof/>
                              </w:rPr>
                              <w:t>1</w:t>
                            </w:r>
                            <w:r>
                              <w:rPr>
                                <w:rFonts w:ascii="Times New Roman" w:hAnsi="Times New Roman" w:cs="Times New Roman"/>
                                <w:noProof/>
                              </w:rPr>
                              <w:fldChar w:fldCharType="end"/>
                            </w:r>
                            <w:r>
                              <w:rPr>
                                <w:rFonts w:ascii="Times New Roman" w:hAnsi="Times New Roman" w:cs="Times New Roman"/>
                                <w:noProof/>
                              </w:rPr>
                              <w:t xml:space="preserve"> </w:t>
                            </w:r>
                            <w:r>
                              <w:rPr>
                                <w:noProof/>
                              </w:rPr>
                              <w:t xml:space="preserve"> Los Angeles County, CA example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6C0569" id="_x0000_t202" coordsize="21600,21600" o:spt="202" path="m,l,21600r21600,l21600,xe">
                <v:stroke joinstyle="miter"/>
                <v:path gradientshapeok="t" o:connecttype="rect"/>
              </v:shapetype>
              <v:shape id="Text Box 3" o:spid="_x0000_s1026" type="#_x0000_t202" style="position:absolute;margin-left:.1pt;margin-top:16.05pt;width:388.8pt;height:17.8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" stroked="f">
                <v:textbox inset="0,0,0,0">
                  <w:txbxContent>
                    <w:p w14:paraId="38DDC666" w14:textId="740B36B6" w:rsidR="00C5494D" w:rsidRPr="00383F43" w:rsidRDefault="00C5494D" w:rsidP="00C22A27">
                      <w:pPr>
                        <w:pStyle w:val="Caption"/>
                        <w:rPr>
                          <w:rFonts w:ascii="Times New Roman" w:hAnsi="Times New Roman" w:cs="Times New Roman"/>
                          <w:noProof/>
                        </w:rPr>
                      </w:pPr>
                      <w:r>
                        <w:rPr>
                          <w:rFonts w:ascii="Times New Roman" w:hAnsi="Times New Roman" w:cs="Times New Roman"/>
                          <w:noProof/>
                        </w:rPr>
                        <w:fldChar w:fldCharType="begin"/>
                      </w:r>
                      <w:r>
                        <w:rPr>
                          <w:rFonts w:ascii="Times New Roman" w:hAnsi="Times New Roman" w:cs="Times New Roman"/>
                          <w:noProof/>
                        </w:rPr>
                        <w:instrText xml:space="preserve"> SEQ Figure \* ARABIC </w:instrText>
                      </w:r>
                      <w:r>
                        <w:rPr>
                          <w:rFonts w:ascii="Times New Roman" w:hAnsi="Times New Roman" w:cs="Times New Roman"/>
                          <w:noProof/>
                        </w:rPr>
                        <w:fldChar w:fldCharType="separate"/>
                      </w:r>
                      <w:r>
                        <w:rPr>
                          <w:rFonts w:ascii="Times New Roman" w:hAnsi="Times New Roman" w:cs="Times New Roman"/>
                          <w:noProof/>
                        </w:rPr>
                        <w:t>1</w:t>
                      </w:r>
                      <w:r>
                        <w:rPr>
                          <w:rFonts w:ascii="Times New Roman" w:hAnsi="Times New Roman" w:cs="Times New Roman"/>
                          <w:noProof/>
                        </w:rPr>
                        <w:fldChar w:fldCharType="end"/>
                      </w:r>
                      <w:r>
                        <w:rPr>
                          <w:rFonts w:ascii="Times New Roman" w:hAnsi="Times New Roman" w:cs="Times New Roman"/>
                          <w:noProof/>
                        </w:rPr>
                        <w:t xml:space="preserve"> </w:t>
                      </w:r>
                      <w:r>
                        <w:rPr>
                          <w:noProof/>
                        </w:rPr>
                        <w:t xml:space="preserve"> Los Angeles County, CA example</w:t>
                      </w:r>
                    </w:p>
                  </w:txbxContent>
                </v:textbox>
                <w10:wrap type="topAndBottom"/>
              </v:shape>
            </w:pict>
          </mc:Fallback>
        </mc:AlternateContent>
      </w:r>
      <w:r w:rsidRPr="00C22A27">
        <w:rPr>
          <w:rFonts w:ascii="Times New Roman" w:hAnsi="Times New Roman" w:cs="Times New Roman"/>
          <w:noProof/>
          <w:sz w:val="22"/>
          <w:szCs w:val="22"/>
        </w:rPr>
        <w:drawing>
          <wp:anchor distT="0" distB="0" distL="114300" distR="114300" simplePos="0" relativeHeight="251669504" behindDoc="0" locked="0" layoutInCell="1" allowOverlap="1" wp14:anchorId="79C7C5FF" wp14:editId="2B6988E6">
            <wp:simplePos x="0" y="0"/>
            <wp:positionH relativeFrom="column">
              <wp:posOffset>1905</wp:posOffset>
            </wp:positionH>
            <wp:positionV relativeFrom="paragraph">
              <wp:posOffset>431209</wp:posOffset>
            </wp:positionV>
            <wp:extent cx="4937760" cy="2826385"/>
            <wp:effectExtent l="0" t="0" r="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a:extLst>
                        <a:ext uri="{28A0092B-C50C-407E-A947-70E740481C1C}">
                          <a14:useLocalDpi xmlns:a14="http://schemas.microsoft.com/office/drawing/2010/main" val="0"/>
                        </a:ext>
                      </a:extLst>
                    </a:blip>
                    <a:stretch>
                      <a:fillRect/>
                    </a:stretch>
                  </pic:blipFill>
                  <pic:spPr>
                    <a:xfrm>
                      <a:off x="0" y="0"/>
                      <a:ext cx="4937760" cy="2826385"/>
                    </a:xfrm>
                    <a:prstGeom prst="rect">
                      <a:avLst/>
                    </a:prstGeom>
                  </pic:spPr>
                </pic:pic>
              </a:graphicData>
            </a:graphic>
          </wp:anchor>
        </w:drawing>
      </w:r>
    </w:p>
    <w:p w14:paraId="62FA2CF9" w14:textId="3FF2475A" w:rsidR="00F3352F" w:rsidRDefault="00F3352F" w:rsidP="00F3352F"/>
    <w:p w14:paraId="2F55B6AA" w14:textId="47DEE4CE" w:rsidR="005E7771" w:rsidRDefault="00C5494D">
      <w:r>
        <w:rPr>
          <w:noProof/>
        </w:rPr>
        <w:lastRenderedPageBreak/>
        <mc:AlternateContent>
          <mc:Choice Requires="wps">
            <w:drawing>
              <wp:anchor distT="0" distB="0" distL="114300" distR="114300" simplePos="0" relativeHeight="251674624" behindDoc="0" locked="0" layoutInCell="1" allowOverlap="1" wp14:anchorId="765124E7" wp14:editId="64712863">
                <wp:simplePos x="0" y="0"/>
                <wp:positionH relativeFrom="column">
                  <wp:posOffset>-62230</wp:posOffset>
                </wp:positionH>
                <wp:positionV relativeFrom="paragraph">
                  <wp:posOffset>594360</wp:posOffset>
                </wp:positionV>
                <wp:extent cx="4937760" cy="248920"/>
                <wp:effectExtent l="0" t="0" r="0" b="0"/>
                <wp:wrapTopAndBottom/>
                <wp:docPr id="4" name="Text Box 4"/>
                <wp:cNvGraphicFramePr/>
                <a:graphic xmlns:a="http://schemas.openxmlformats.org/drawingml/2006/main">
                  <a:graphicData uri="http://schemas.microsoft.com/office/word/2010/wordprocessingShape">
                    <wps:wsp>
                      <wps:cNvSpPr txBox="1"/>
                      <wps:spPr>
                        <a:xfrm>
                          <a:off x="0" y="0"/>
                          <a:ext cx="4937760" cy="248920"/>
                        </a:xfrm>
                        <a:prstGeom prst="rect">
                          <a:avLst/>
                        </a:prstGeom>
                        <a:solidFill>
                          <a:prstClr val="white"/>
                        </a:solidFill>
                        <a:ln>
                          <a:noFill/>
                        </a:ln>
                      </wps:spPr>
                      <wps:txbx>
                        <w:txbxContent>
                          <w:p w14:paraId="1BFDAFD1" w14:textId="07BD2E50" w:rsidR="00C5494D" w:rsidRPr="003C4FB7" w:rsidRDefault="00C5494D" w:rsidP="00C22A27">
                            <w:pPr>
                              <w:pStyle w:val="Caption"/>
                              <w:rPr>
                                <w:rFonts w:ascii="Times New Roman" w:hAnsi="Times New Roman" w:cs="Times New Roman"/>
                                <w:b/>
                              </w:rPr>
                            </w:pPr>
                            <w:r>
                              <w:rPr>
                                <w:rFonts w:ascii="Times New Roman" w:hAnsi="Times New Roman" w:cs="Times New Roman"/>
                                <w:b/>
                              </w:rPr>
                              <w:fldChar w:fldCharType="begin"/>
                            </w:r>
                            <w:r>
                              <w:rPr>
                                <w:rFonts w:ascii="Times New Roman" w:hAnsi="Times New Roman" w:cs="Times New Roman"/>
                                <w:b/>
                              </w:rPr>
                              <w:instrText xml:space="preserve"> SEQ Figure \* ARABIC </w:instrText>
                            </w:r>
                            <w:r>
                              <w:rPr>
                                <w:rFonts w:ascii="Times New Roman" w:hAnsi="Times New Roman" w:cs="Times New Roman"/>
                                <w:b/>
                              </w:rPr>
                              <w:fldChar w:fldCharType="separate"/>
                            </w:r>
                            <w:r>
                              <w:rPr>
                                <w:rFonts w:ascii="Times New Roman" w:hAnsi="Times New Roman" w:cs="Times New Roman"/>
                                <w:b/>
                                <w:noProof/>
                              </w:rPr>
                              <w:t>2</w:t>
                            </w:r>
                            <w:r>
                              <w:rPr>
                                <w:rFonts w:ascii="Times New Roman" w:hAnsi="Times New Roman" w:cs="Times New Roman"/>
                                <w:b/>
                              </w:rPr>
                              <w:fldChar w:fldCharType="end"/>
                            </w:r>
                            <w:r>
                              <w:rPr>
                                <w:rFonts w:ascii="Times New Roman" w:hAnsi="Times New Roman" w:cs="Times New Roman"/>
                                <w:b/>
                              </w:rPr>
                              <w:t xml:space="preserve">  </w:t>
                            </w:r>
                            <w:r>
                              <w:t>Fairfax, VA county example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5124E7" id="Text Box 4" o:spid="_x0000_s1027" type="#_x0000_t202" style="position:absolute;margin-left:-4.9pt;margin-top:46.8pt;width:388.8pt;height:19.6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" stroked="f">
                <v:textbox inset="0,0,0,0">
                  <w:txbxContent>
                    <w:p w14:paraId="1BFDAFD1" w14:textId="07BD2E50" w:rsidR="00C5494D" w:rsidRPr="003C4FB7" w:rsidRDefault="00C5494D" w:rsidP="00C22A27">
                      <w:pPr>
                        <w:pStyle w:val="Caption"/>
                        <w:rPr>
                          <w:rFonts w:ascii="Times New Roman" w:hAnsi="Times New Roman" w:cs="Times New Roman"/>
                          <w:b/>
                        </w:rPr>
                      </w:pPr>
                      <w:r>
                        <w:rPr>
                          <w:rFonts w:ascii="Times New Roman" w:hAnsi="Times New Roman" w:cs="Times New Roman"/>
                          <w:b/>
                        </w:rPr>
                        <w:fldChar w:fldCharType="begin"/>
                      </w:r>
                      <w:r>
                        <w:rPr>
                          <w:rFonts w:ascii="Times New Roman" w:hAnsi="Times New Roman" w:cs="Times New Roman"/>
                          <w:b/>
                        </w:rPr>
                        <w:instrText xml:space="preserve"> SEQ Figure \* ARABIC </w:instrText>
                      </w:r>
                      <w:r>
                        <w:rPr>
                          <w:rFonts w:ascii="Times New Roman" w:hAnsi="Times New Roman" w:cs="Times New Roman"/>
                          <w:b/>
                        </w:rPr>
                        <w:fldChar w:fldCharType="separate"/>
                      </w:r>
                      <w:r>
                        <w:rPr>
                          <w:rFonts w:ascii="Times New Roman" w:hAnsi="Times New Roman" w:cs="Times New Roman"/>
                          <w:b/>
                          <w:noProof/>
                        </w:rPr>
                        <w:t>2</w:t>
                      </w:r>
                      <w:r>
                        <w:rPr>
                          <w:rFonts w:ascii="Times New Roman" w:hAnsi="Times New Roman" w:cs="Times New Roman"/>
                          <w:b/>
                        </w:rPr>
                        <w:fldChar w:fldCharType="end"/>
                      </w:r>
                      <w:r>
                        <w:rPr>
                          <w:rFonts w:ascii="Times New Roman" w:hAnsi="Times New Roman" w:cs="Times New Roman"/>
                          <w:b/>
                        </w:rPr>
                        <w:t xml:space="preserve">  </w:t>
                      </w:r>
                      <w:r>
                        <w:t>Fairfax, VA county example</w:t>
                      </w:r>
                    </w:p>
                  </w:txbxContent>
                </v:textbox>
                <w10:wrap type="topAndBottom"/>
              </v:shape>
            </w:pict>
          </mc:Fallback>
        </mc:AlternateContent>
      </w:r>
      <w:r w:rsidRPr="00AD0D38">
        <w:rPr>
          <w:rFonts w:ascii="Times New Roman" w:hAnsi="Times New Roman" w:cs="Times New Roman"/>
          <w:b/>
          <w:sz w:val="22"/>
          <w:szCs w:val="22"/>
        </w:rPr>
        <w:t>Exhibit 1</w:t>
      </w:r>
      <w:r w:rsidRPr="00AD0D38">
        <w:rPr>
          <w:rFonts w:ascii="Times New Roman" w:hAnsi="Times New Roman" w:cs="Times New Roman"/>
          <w:sz w:val="22"/>
          <w:szCs w:val="22"/>
        </w:rPr>
        <w:t xml:space="preserve">: </w:t>
      </w:r>
      <w:r>
        <w:rPr>
          <w:rFonts w:ascii="Times New Roman" w:hAnsi="Times New Roman" w:cs="Times New Roman"/>
          <w:sz w:val="22"/>
          <w:szCs w:val="22"/>
        </w:rPr>
        <w:t>(MPT Example continued)</w:t>
      </w:r>
      <w:r w:rsidRPr="00AD0D38">
        <w:rPr>
          <w:rFonts w:ascii="Times New Roman" w:hAnsi="Times New Roman" w:cs="Times New Roman"/>
          <w:sz w:val="22"/>
          <w:szCs w:val="22"/>
        </w:rPr>
        <w:t xml:space="preserve"> </w:t>
      </w:r>
      <w:r>
        <w:rPr>
          <w:noProof/>
        </w:rPr>
        <w:drawing>
          <wp:anchor distT="0" distB="0" distL="114300" distR="114300" simplePos="0" relativeHeight="251670528" behindDoc="0" locked="0" layoutInCell="1" allowOverlap="1" wp14:anchorId="744AA134" wp14:editId="59FDBD07">
            <wp:simplePos x="0" y="0"/>
            <wp:positionH relativeFrom="column">
              <wp:posOffset>-62739</wp:posOffset>
            </wp:positionH>
            <wp:positionV relativeFrom="paragraph">
              <wp:posOffset>843921</wp:posOffset>
            </wp:positionV>
            <wp:extent cx="4937760" cy="2950210"/>
            <wp:effectExtent l="0" t="0" r="0" b="254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2">
                      <a:extLst>
                        <a:ext uri="{28A0092B-C50C-407E-A947-70E740481C1C}">
                          <a14:useLocalDpi xmlns:a14="http://schemas.microsoft.com/office/drawing/2010/main" val="0"/>
                        </a:ext>
                      </a:extLst>
                    </a:blip>
                    <a:stretch>
                      <a:fillRect/>
                    </a:stretch>
                  </pic:blipFill>
                  <pic:spPr>
                    <a:xfrm>
                      <a:off x="0" y="0"/>
                      <a:ext cx="4937760" cy="2950210"/>
                    </a:xfrm>
                    <a:prstGeom prst="rect">
                      <a:avLst/>
                    </a:prstGeom>
                  </pic:spPr>
                </pic:pic>
              </a:graphicData>
            </a:graphic>
          </wp:anchor>
        </w:drawing>
      </w:r>
      <w:r w:rsidR="005E7771">
        <w:br w:type="page"/>
      </w:r>
    </w:p>
    <w:p w14:paraId="49836416" w14:textId="40350C1E" w:rsidR="00F3352F" w:rsidRPr="00AD0D38" w:rsidRDefault="00C5494D" w:rsidP="00F3352F">
      <w:pPr>
        <w:rPr>
          <w:rFonts w:ascii="Times New Roman" w:hAnsi="Times New Roman" w:cs="Times New Roman"/>
          <w:sz w:val="22"/>
          <w:szCs w:val="22"/>
        </w:rPr>
      </w:pPr>
      <w:r>
        <w:rPr>
          <w:noProof/>
        </w:rPr>
        <w:lastRenderedPageBreak/>
        <mc:AlternateContent>
          <mc:Choice Requires="wps">
            <w:drawing>
              <wp:anchor distT="0" distB="0" distL="114300" distR="114300" simplePos="0" relativeHeight="251676672" behindDoc="0" locked="0" layoutInCell="1" allowOverlap="1" wp14:anchorId="3E697F51" wp14:editId="248A5296">
                <wp:simplePos x="0" y="0"/>
                <wp:positionH relativeFrom="column">
                  <wp:posOffset>1270</wp:posOffset>
                </wp:positionH>
                <wp:positionV relativeFrom="paragraph">
                  <wp:posOffset>1830705</wp:posOffset>
                </wp:positionV>
                <wp:extent cx="4937760" cy="253365"/>
                <wp:effectExtent l="0" t="0" r="0" b="0"/>
                <wp:wrapTopAndBottom/>
                <wp:docPr id="5" name="Text Box 5"/>
                <wp:cNvGraphicFramePr/>
                <a:graphic xmlns:a="http://schemas.openxmlformats.org/drawingml/2006/main">
                  <a:graphicData uri="http://schemas.microsoft.com/office/word/2010/wordprocessingShape">
                    <wps:wsp>
                      <wps:cNvSpPr txBox="1"/>
                      <wps:spPr>
                        <a:xfrm>
                          <a:off x="0" y="0"/>
                          <a:ext cx="4937760" cy="253365"/>
                        </a:xfrm>
                        <a:prstGeom prst="rect">
                          <a:avLst/>
                        </a:prstGeom>
                        <a:solidFill>
                          <a:prstClr val="white"/>
                        </a:solidFill>
                        <a:ln>
                          <a:noFill/>
                        </a:ln>
                      </wps:spPr>
                      <wps:txbx>
                        <w:txbxContent>
                          <w:p w14:paraId="29BFB898" w14:textId="62A54508" w:rsidR="00C5494D" w:rsidRPr="00EE5425" w:rsidRDefault="00C5494D" w:rsidP="00C22A27">
                            <w:pPr>
                              <w:pStyle w:val="Caption"/>
                              <w:rPr>
                                <w:rFonts w:ascii="Times New Roman" w:hAnsi="Times New Roman" w:cs="Times New Roman"/>
                                <w:bCs/>
                                <w:noProof/>
                                <w:color w:val="000000"/>
                              </w:rPr>
                            </w:pPr>
                            <w:r>
                              <w:rPr>
                                <w:rFonts w:ascii="Times New Roman" w:hAnsi="Times New Roman" w:cs="Times New Roman"/>
                                <w:bCs/>
                                <w:noProof/>
                                <w:color w:val="000000"/>
                              </w:rPr>
                              <w:fldChar w:fldCharType="begin"/>
                            </w:r>
                            <w:r>
                              <w:rPr>
                                <w:rFonts w:ascii="Times New Roman" w:hAnsi="Times New Roman" w:cs="Times New Roman"/>
                                <w:bCs/>
                                <w:noProof/>
                                <w:color w:val="000000"/>
                              </w:rPr>
                              <w:instrText xml:space="preserve"> SEQ Figure \* ARABIC </w:instrText>
                            </w:r>
                            <w:r>
                              <w:rPr>
                                <w:rFonts w:ascii="Times New Roman" w:hAnsi="Times New Roman" w:cs="Times New Roman"/>
                                <w:bCs/>
                                <w:noProof/>
                                <w:color w:val="000000"/>
                              </w:rPr>
                              <w:fldChar w:fldCharType="separate"/>
                            </w:r>
                            <w:r>
                              <w:rPr>
                                <w:rFonts w:ascii="Times New Roman" w:hAnsi="Times New Roman" w:cs="Times New Roman"/>
                                <w:bCs/>
                                <w:noProof/>
                                <w:color w:val="000000"/>
                              </w:rPr>
                              <w:t>3</w:t>
                            </w:r>
                            <w:r>
                              <w:rPr>
                                <w:rFonts w:ascii="Times New Roman" w:hAnsi="Times New Roman" w:cs="Times New Roman"/>
                                <w:bCs/>
                                <w:noProof/>
                                <w:color w:val="000000"/>
                              </w:rPr>
                              <w:fldChar w:fldCharType="end"/>
                            </w:r>
                            <w:r>
                              <w:t xml:space="preserve">  FSD Analysis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697F51" id="Text Box 5" o:spid="_x0000_s1028" type="#_x0000_t202" style="position:absolute;margin-left:.1pt;margin-top:144.15pt;width:388.8pt;height:19.9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" stroked="f">
                <v:textbox inset="0,0,0,0">
                  <w:txbxContent>
                    <w:p w14:paraId="29BFB898" w14:textId="62A54508" w:rsidR="00C5494D" w:rsidRPr="00EE5425" w:rsidRDefault="00C5494D" w:rsidP="00C22A27">
                      <w:pPr>
                        <w:pStyle w:val="Caption"/>
                        <w:rPr>
                          <w:rFonts w:ascii="Times New Roman" w:hAnsi="Times New Roman" w:cs="Times New Roman"/>
                          <w:bCs/>
                          <w:noProof/>
                          <w:color w:val="000000"/>
                        </w:rPr>
                      </w:pPr>
                      <w:r>
                        <w:rPr>
                          <w:rFonts w:ascii="Times New Roman" w:hAnsi="Times New Roman" w:cs="Times New Roman"/>
                          <w:bCs/>
                          <w:noProof/>
                          <w:color w:val="000000"/>
                        </w:rPr>
                        <w:fldChar w:fldCharType="begin"/>
                      </w:r>
                      <w:r>
                        <w:rPr>
                          <w:rFonts w:ascii="Times New Roman" w:hAnsi="Times New Roman" w:cs="Times New Roman"/>
                          <w:bCs/>
                          <w:noProof/>
                          <w:color w:val="000000"/>
                        </w:rPr>
                        <w:instrText xml:space="preserve"> SEQ Figure \* ARABIC </w:instrText>
                      </w:r>
                      <w:r>
                        <w:rPr>
                          <w:rFonts w:ascii="Times New Roman" w:hAnsi="Times New Roman" w:cs="Times New Roman"/>
                          <w:bCs/>
                          <w:noProof/>
                          <w:color w:val="000000"/>
                        </w:rPr>
                        <w:fldChar w:fldCharType="separate"/>
                      </w:r>
                      <w:r>
                        <w:rPr>
                          <w:rFonts w:ascii="Times New Roman" w:hAnsi="Times New Roman" w:cs="Times New Roman"/>
                          <w:bCs/>
                          <w:noProof/>
                          <w:color w:val="000000"/>
                        </w:rPr>
                        <w:t>3</w:t>
                      </w:r>
                      <w:r>
                        <w:rPr>
                          <w:rFonts w:ascii="Times New Roman" w:hAnsi="Times New Roman" w:cs="Times New Roman"/>
                          <w:bCs/>
                          <w:noProof/>
                          <w:color w:val="000000"/>
                        </w:rPr>
                        <w:fldChar w:fldCharType="end"/>
                      </w:r>
                      <w:r>
                        <w:t xml:space="preserve">  FSD Analysis</w:t>
                      </w:r>
                    </w:p>
                  </w:txbxContent>
                </v:textbox>
                <w10:wrap type="topAndBottom"/>
              </v:shape>
            </w:pict>
          </mc:Fallback>
        </mc:AlternateContent>
      </w:r>
      <w:r w:rsidR="00F3352F" w:rsidRPr="00AD0D38">
        <w:rPr>
          <w:rFonts w:ascii="Times New Roman" w:hAnsi="Times New Roman" w:cs="Times New Roman"/>
          <w:b/>
          <w:bCs/>
          <w:sz w:val="22"/>
          <w:szCs w:val="22"/>
        </w:rPr>
        <w:t>Exhibit 2</w:t>
      </w:r>
      <w:r w:rsidR="00F3352F" w:rsidRPr="00AD0D38">
        <w:rPr>
          <w:rFonts w:ascii="Times New Roman" w:hAnsi="Times New Roman" w:cs="Times New Roman"/>
          <w:sz w:val="22"/>
          <w:szCs w:val="22"/>
        </w:rPr>
        <w:t>: FSD Analysis</w:t>
      </w:r>
      <w:r w:rsidR="007A15E2" w:rsidRPr="00AD0D38">
        <w:rPr>
          <w:rFonts w:ascii="Times New Roman" w:hAnsi="Times New Roman" w:cs="Times New Roman"/>
          <w:sz w:val="22"/>
          <w:szCs w:val="22"/>
        </w:rPr>
        <w:t xml:space="preserve"> of an AVM showing possible acceptability thresholds. Below, a single AVM in a single geography is analyzed by grouping all usable valuations by the </w:t>
      </w:r>
      <w:r w:rsidR="00101679">
        <w:rPr>
          <w:rFonts w:ascii="Times New Roman" w:hAnsi="Times New Roman" w:cs="Times New Roman"/>
          <w:sz w:val="22"/>
          <w:szCs w:val="22"/>
        </w:rPr>
        <w:t xml:space="preserve">AVM-provided </w:t>
      </w:r>
      <w:r w:rsidR="007A15E2" w:rsidRPr="00AD0D38">
        <w:rPr>
          <w:rFonts w:ascii="Times New Roman" w:hAnsi="Times New Roman" w:cs="Times New Roman"/>
          <w:sz w:val="22"/>
          <w:szCs w:val="22"/>
        </w:rPr>
        <w:t xml:space="preserve">FSD. </w:t>
      </w:r>
      <w:r w:rsidR="00101679">
        <w:rPr>
          <w:rFonts w:ascii="Times New Roman" w:hAnsi="Times New Roman" w:cs="Times New Roman"/>
          <w:sz w:val="22"/>
          <w:szCs w:val="22"/>
        </w:rPr>
        <w:t>In this example</w:t>
      </w:r>
      <w:r w:rsidR="007A15E2" w:rsidRPr="00AD0D38">
        <w:rPr>
          <w:rFonts w:ascii="Times New Roman" w:hAnsi="Times New Roman" w:cs="Times New Roman"/>
          <w:sz w:val="22"/>
          <w:szCs w:val="22"/>
        </w:rPr>
        <w:t xml:space="preserve">, “Model P”, provided 1,125 usable valuations in South Carolina with an FSD of 7. This analysis shows how they scored on three metrics </w:t>
      </w:r>
      <w:r w:rsidR="00E438A2">
        <w:rPr>
          <w:rFonts w:ascii="Times New Roman" w:hAnsi="Times New Roman" w:cs="Times New Roman"/>
          <w:sz w:val="22"/>
          <w:szCs w:val="22"/>
        </w:rPr>
        <w:t xml:space="preserve">covering accuracy, precision and outliers, </w:t>
      </w:r>
      <w:r w:rsidR="007A15E2" w:rsidRPr="00AD0D38">
        <w:rPr>
          <w:rFonts w:ascii="Times New Roman" w:hAnsi="Times New Roman" w:cs="Times New Roman"/>
          <w:sz w:val="22"/>
          <w:szCs w:val="22"/>
        </w:rPr>
        <w:t xml:space="preserve">and </w:t>
      </w:r>
      <w:r w:rsidR="00E438A2">
        <w:rPr>
          <w:rFonts w:ascii="Times New Roman" w:hAnsi="Times New Roman" w:cs="Times New Roman"/>
          <w:sz w:val="22"/>
          <w:szCs w:val="22"/>
        </w:rPr>
        <w:t xml:space="preserve">it </w:t>
      </w:r>
      <w:r w:rsidR="007A15E2" w:rsidRPr="00AD0D38">
        <w:rPr>
          <w:rFonts w:ascii="Times New Roman" w:hAnsi="Times New Roman" w:cs="Times New Roman"/>
          <w:sz w:val="22"/>
          <w:szCs w:val="22"/>
        </w:rPr>
        <w:t>provides a composite score that can be used for ranking. This composite score and the cutoffs are examples of what an AVM user might employ</w:t>
      </w:r>
      <w:r w:rsidR="00E438A2">
        <w:rPr>
          <w:rFonts w:ascii="Times New Roman" w:hAnsi="Times New Roman" w:cs="Times New Roman"/>
          <w:sz w:val="22"/>
          <w:szCs w:val="22"/>
        </w:rPr>
        <w:t xml:space="preserve">. However, </w:t>
      </w:r>
      <w:r w:rsidR="007A15E2" w:rsidRPr="00AD0D38">
        <w:rPr>
          <w:rFonts w:ascii="Times New Roman" w:hAnsi="Times New Roman" w:cs="Times New Roman"/>
          <w:sz w:val="22"/>
          <w:szCs w:val="22"/>
        </w:rPr>
        <w:t xml:space="preserve">the </w:t>
      </w:r>
      <w:r w:rsidR="00E438A2">
        <w:rPr>
          <w:rFonts w:ascii="Times New Roman" w:hAnsi="Times New Roman" w:cs="Times New Roman"/>
          <w:sz w:val="22"/>
          <w:szCs w:val="22"/>
        </w:rPr>
        <w:t xml:space="preserve">specific </w:t>
      </w:r>
      <w:r w:rsidR="007A15E2" w:rsidRPr="00AD0D38">
        <w:rPr>
          <w:rFonts w:ascii="Times New Roman" w:hAnsi="Times New Roman" w:cs="Times New Roman"/>
          <w:sz w:val="22"/>
          <w:szCs w:val="22"/>
        </w:rPr>
        <w:t xml:space="preserve">metrics </w:t>
      </w:r>
      <w:r w:rsidR="00E438A2">
        <w:rPr>
          <w:rFonts w:ascii="Times New Roman" w:hAnsi="Times New Roman" w:cs="Times New Roman"/>
          <w:sz w:val="22"/>
          <w:szCs w:val="22"/>
        </w:rPr>
        <w:t xml:space="preserve">and scoring </w:t>
      </w:r>
      <w:r w:rsidR="007A15E2" w:rsidRPr="00AD0D38">
        <w:rPr>
          <w:rFonts w:ascii="Times New Roman" w:hAnsi="Times New Roman" w:cs="Times New Roman"/>
          <w:sz w:val="22"/>
          <w:szCs w:val="22"/>
        </w:rPr>
        <w:t>should be appropriate to the application of the AVM user.</w:t>
      </w:r>
    </w:p>
    <w:p w14:paraId="10713C70" w14:textId="03AA8821" w:rsidR="00F3352F" w:rsidRPr="00BB4D3B" w:rsidRDefault="00F3352F" w:rsidP="00AD0D38">
      <w:r w:rsidRPr="00675433">
        <w:rPr>
          <w:rFonts w:ascii="Times New Roman" w:hAnsi="Times New Roman" w:cs="Times New Roman"/>
          <w:bCs/>
          <w:noProof/>
          <w:color w:val="000000"/>
          <w:sz w:val="22"/>
          <w:szCs w:val="22"/>
        </w:rPr>
        <w:drawing>
          <wp:anchor distT="0" distB="0" distL="114300" distR="114300" simplePos="0" relativeHeight="251668480" behindDoc="0" locked="0" layoutInCell="1" allowOverlap="1" wp14:anchorId="19C7578E" wp14:editId="309E723A">
            <wp:simplePos x="0" y="0"/>
            <wp:positionH relativeFrom="column">
              <wp:posOffset>20955</wp:posOffset>
            </wp:positionH>
            <wp:positionV relativeFrom="paragraph">
              <wp:posOffset>619549</wp:posOffset>
            </wp:positionV>
            <wp:extent cx="4937760" cy="2075180"/>
            <wp:effectExtent l="19050" t="19050" r="15240" b="2032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37760" cy="2075180"/>
                    </a:xfrm>
                    <a:prstGeom prst="rect">
                      <a:avLst/>
                    </a:prstGeom>
                    <a:ln>
                      <a:solidFill>
                        <a:schemeClr val="tx1"/>
                      </a:solidFill>
                    </a:ln>
                  </pic:spPr>
                </pic:pic>
              </a:graphicData>
            </a:graphic>
          </wp:anchor>
        </w:drawing>
      </w:r>
    </w:p>
    <w:sectPr w:rsidR="00F3352F" w:rsidRPr="00BB4D3B" w:rsidSect="001A4017">
      <w:headerReference w:type="default" r:id="rId14"/>
      <w:footerReference w:type="default" r:id="rId15"/>
      <w:headerReference w:type="first" r:id="rId16"/>
      <w:footerReference w:type="first" r:id="rId17"/>
      <w:pgSz w:w="12240" w:h="15840"/>
      <w:pgMar w:top="1440" w:right="1440" w:bottom="1440" w:left="1440" w:header="1080" w:footer="7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F5A49F" w14:textId="77777777" w:rsidR="009E7740" w:rsidRDefault="009E7740">
      <w:pPr>
        <w:spacing w:after="0" w:line="240" w:lineRule="auto"/>
      </w:pPr>
      <w:r>
        <w:separator/>
      </w:r>
    </w:p>
  </w:endnote>
  <w:endnote w:type="continuationSeparator" w:id="0">
    <w:p w14:paraId="1EFF5825" w14:textId="77777777" w:rsidR="009E7740" w:rsidRDefault="009E7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auto"/>
      </w:rPr>
      <w:id w:val="-2093849289"/>
      <w:docPartObj>
        <w:docPartGallery w:val="Page Numbers (Bottom of Page)"/>
        <w:docPartUnique/>
      </w:docPartObj>
    </w:sdtPr>
    <w:sdtEndPr>
      <w:rPr>
        <w:noProof/>
      </w:rPr>
    </w:sdtEndPr>
    <w:sdtContent>
      <w:p w14:paraId="0A982658" w14:textId="77777777" w:rsidR="00B469A5" w:rsidRPr="00AD0D38" w:rsidRDefault="00694CB6">
        <w:pPr>
          <w:pStyle w:val="Footer"/>
          <w:rPr>
            <w:color w:val="auto"/>
          </w:rPr>
        </w:pPr>
        <w:r w:rsidRPr="00AD0D38">
          <w:rPr>
            <w:color w:val="auto"/>
          </w:rPr>
          <w:fldChar w:fldCharType="begin"/>
        </w:r>
        <w:r w:rsidRPr="00AD0D38">
          <w:rPr>
            <w:color w:val="auto"/>
          </w:rPr>
          <w:instrText xml:space="preserve"> PAGE   \* MERGEFORMAT </w:instrText>
        </w:r>
        <w:r w:rsidRPr="00AD0D38">
          <w:rPr>
            <w:color w:val="auto"/>
          </w:rPr>
          <w:fldChar w:fldCharType="separate"/>
        </w:r>
        <w:r w:rsidR="00D67D4E" w:rsidRPr="00AD0D38">
          <w:rPr>
            <w:noProof/>
            <w:color w:val="auto"/>
          </w:rPr>
          <w:t>10</w:t>
        </w:r>
        <w:r w:rsidRPr="00AD0D38">
          <w:rPr>
            <w:noProof/>
            <w:color w:val="auto"/>
          </w:rPr>
          <w:fldChar w:fldCharType="end"/>
        </w:r>
        <w:r w:rsidRPr="00AD0D38">
          <w:rPr>
            <w:rStyle w:val="Emphasis"/>
            <w:noProof/>
            <w:color w:val="auto"/>
            <w:lang w:eastAsia="en-US"/>
          </w:rPr>
          <mc:AlternateContent>
            <mc:Choice Requires="wps">
              <w:drawing>
                <wp:anchor distT="0" distB="0" distL="114300" distR="114300" simplePos="0" relativeHeight="251666432" behindDoc="0" locked="0" layoutInCell="1" allowOverlap="1" wp14:anchorId="73A927EB" wp14:editId="3B6D4760">
                  <wp:simplePos x="0" y="0"/>
                  <wp:positionH relativeFrom="page">
                    <wp:posOffset>685800</wp:posOffset>
                  </wp:positionH>
                  <wp:positionV relativeFrom="page">
                    <wp:posOffset>9144000</wp:posOffset>
                  </wp:positionV>
                  <wp:extent cx="5029200" cy="0"/>
                  <wp:effectExtent l="0" t="0" r="19050" b="19050"/>
                  <wp:wrapNone/>
                  <wp:docPr id="9" name="Straight Connector 9" title="Line design element"/>
                  <wp:cNvGraphicFramePr/>
                  <a:graphic xmlns:a="http://schemas.openxmlformats.org/drawingml/2006/main">
                    <a:graphicData uri="http://schemas.microsoft.com/office/word/2010/wordprocessingShape">
                      <wps:wsp>
                        <wps:cNvCnPr/>
                        <wps:spPr>
                          <a:xfrm>
                            <a:off x="0" y="0"/>
                            <a:ext cx="5029200" cy="0"/>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5B0C37" id="Straight Connector 9" o:spid="_x0000_s1026" alt="Title: Line design element"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10in" to="450pt,1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" strokecolor="#ccc [3214]" strokeweight="1pt">
                  <v:stroke joinstyle="miter"/>
                  <w10:wrap anchorx="page" anchory="page"/>
                </v:lin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C35E3" w14:textId="0931A049" w:rsidR="00B469A5" w:rsidRDefault="00C1617B">
    <w:pPr>
      <w:pStyle w:val="Footer"/>
      <w:rPr>
        <w:rStyle w:val="Emphasis"/>
      </w:rPr>
    </w:pPr>
    <w:r>
      <w:rPr>
        <w:rStyle w:val="Emphasis"/>
      </w:rPr>
      <w:t>2655 first street, suite 250, simi valley, ca, 93065</w:t>
    </w:r>
  </w:p>
  <w:p w14:paraId="500C1F74" w14:textId="4B811A4C" w:rsidR="00B469A5" w:rsidRDefault="00694CB6">
    <w:pPr>
      <w:pStyle w:val="Footer"/>
      <w:rPr>
        <w:iCs/>
        <w:color w:val="000000" w:themeColor="text1"/>
      </w:rPr>
    </w:pPr>
    <w:r w:rsidRPr="00AD0D38">
      <w:rPr>
        <w:color w:val="auto"/>
      </w:rPr>
      <w:t>T</w:t>
    </w:r>
    <w:r>
      <w:rPr>
        <w:rStyle w:val="Emphasis"/>
      </w:rPr>
      <w:t xml:space="preserve"> </w:t>
    </w:r>
    <w:r w:rsidR="00C1617B">
      <w:rPr>
        <w:rStyle w:val="Emphasis"/>
      </w:rPr>
      <w:t>(805) 421-5056</w:t>
    </w:r>
    <w:r>
      <w:rPr>
        <w:rStyle w:val="Emphasis"/>
      </w:rPr>
      <w:t xml:space="preserve"> </w:t>
    </w:r>
    <w:r w:rsidR="00C1617B">
      <w:rPr>
        <w:rStyle w:val="Emphasis"/>
      </w:rPr>
      <w:t xml:space="preserve"> </w:t>
    </w:r>
    <w:r>
      <w:rPr>
        <w:rStyle w:val="Emphasis"/>
      </w:rPr>
      <w:t xml:space="preserve"> </w:t>
    </w:r>
    <w:r w:rsidR="00C1617B">
      <w:rPr>
        <w:rStyle w:val="Emphasis"/>
      </w:rPr>
      <w:t>www.avmetrics.net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6DB678" w14:textId="77777777" w:rsidR="009E7740" w:rsidRDefault="009E7740">
      <w:pPr>
        <w:spacing w:after="0" w:line="240" w:lineRule="auto"/>
      </w:pPr>
      <w:r>
        <w:separator/>
      </w:r>
    </w:p>
  </w:footnote>
  <w:footnote w:type="continuationSeparator" w:id="0">
    <w:p w14:paraId="7D8AC557" w14:textId="77777777" w:rsidR="009E7740" w:rsidRDefault="009E7740">
      <w:pPr>
        <w:spacing w:after="0" w:line="240" w:lineRule="auto"/>
      </w:pPr>
      <w:r>
        <w:continuationSeparator/>
      </w:r>
    </w:p>
  </w:footnote>
  <w:footnote w:id="1">
    <w:p w14:paraId="2A0364BE" w14:textId="55EE8B3F" w:rsidR="00FB048F" w:rsidRPr="001A4017" w:rsidRDefault="00FB048F" w:rsidP="00FB048F">
      <w:pPr>
        <w:pStyle w:val="FootnoteText"/>
        <w:rPr>
          <w:rFonts w:ascii="Times New Roman" w:hAnsi="Times New Roman" w:cs="Times New Roman"/>
          <w:b/>
          <w:bCs/>
        </w:rPr>
      </w:pPr>
      <w:r>
        <w:rPr>
          <w:rStyle w:val="FootnoteReference"/>
        </w:rPr>
        <w:footnoteRef/>
      </w:r>
      <w:r>
        <w:t xml:space="preserve"> </w:t>
      </w:r>
      <w:r w:rsidRPr="001A4017">
        <w:rPr>
          <w:rFonts w:ascii="Times New Roman" w:hAnsi="Times New Roman" w:cs="Times New Roman"/>
        </w:rPr>
        <w:t xml:space="preserve">See, for example, </w:t>
      </w:r>
      <w:r w:rsidR="00EB276B" w:rsidRPr="001A4017">
        <w:rPr>
          <w:rFonts w:ascii="Times New Roman" w:hAnsi="Times New Roman" w:cs="Times New Roman"/>
        </w:rPr>
        <w:t xml:space="preserve">the discussion of anchoring in </w:t>
      </w:r>
      <w:r w:rsidRPr="001A4017">
        <w:rPr>
          <w:rFonts w:ascii="Times New Roman" w:hAnsi="Times New Roman" w:cs="Times New Roman"/>
        </w:rPr>
        <w:t>“</w:t>
      </w:r>
      <w:r w:rsidRPr="001A4017">
        <w:rPr>
          <w:rFonts w:ascii="Times New Roman" w:hAnsi="Times New Roman" w:cs="Times New Roman"/>
          <w:b/>
          <w:bCs/>
        </w:rPr>
        <w:t>Prevalence of GSE appraisal waivers: November 2020 originations”</w:t>
      </w:r>
    </w:p>
    <w:p w14:paraId="6B62AAF0" w14:textId="62D16E8F" w:rsidR="00FB048F" w:rsidRDefault="009327A8">
      <w:pPr>
        <w:pStyle w:val="FootnoteText"/>
        <w:rPr>
          <w:rFonts w:ascii="Times New Roman" w:hAnsi="Times New Roman" w:cs="Times New Roman"/>
        </w:rPr>
      </w:pPr>
      <w:hyperlink r:id="rId1" w:history="1">
        <w:r w:rsidRPr="003148EE">
          <w:rPr>
            <w:rStyle w:val="Hyperlink"/>
            <w:rFonts w:ascii="Times New Roman" w:hAnsi="Times New Roman" w:cs="Times New Roman"/>
          </w:rPr>
          <w:t>https://www.aei.org/research-products/report/prevalence-of-gse-appraisal-waivers-november-2020-originations/</w:t>
        </w:r>
      </w:hyperlink>
    </w:p>
    <w:p w14:paraId="3D43D204" w14:textId="77777777" w:rsidR="009327A8" w:rsidRPr="001A4017" w:rsidRDefault="009327A8">
      <w:pPr>
        <w:pStyle w:val="FootnoteText"/>
        <w:rPr>
          <w:rFonts w:ascii="Times New Roman" w:hAnsi="Times New Roman" w:cs="Times New Roman"/>
        </w:rPr>
      </w:pPr>
    </w:p>
  </w:footnote>
  <w:footnote w:id="2">
    <w:p w14:paraId="681B699E" w14:textId="1B9A87C2" w:rsidR="0096536E" w:rsidRDefault="0096536E" w:rsidP="0096536E">
      <w:pPr>
        <w:pStyle w:val="FootnoteText"/>
        <w:rPr>
          <w:rFonts w:ascii="Times New Roman" w:hAnsi="Times New Roman" w:cs="Times New Roman"/>
        </w:rPr>
      </w:pPr>
      <w:r>
        <w:rPr>
          <w:rStyle w:val="FootnoteReference"/>
        </w:rPr>
        <w:footnoteRef/>
      </w:r>
      <w:r>
        <w:t xml:space="preserve"> </w:t>
      </w:r>
      <w:r w:rsidRPr="001A4017">
        <w:rPr>
          <w:rFonts w:ascii="Times New Roman" w:hAnsi="Times New Roman" w:cs="Times New Roman"/>
        </w:rPr>
        <w:t xml:space="preserve">See Appendix B of Interagency Appraisal and Evaluation Guidelines, specifically under “Selecting an AVM(s)” </w:t>
      </w:r>
      <w:hyperlink r:id="rId2" w:history="1">
        <w:r w:rsidR="009327A8" w:rsidRPr="003148EE">
          <w:rPr>
            <w:rStyle w:val="Hyperlink"/>
            <w:rFonts w:ascii="Times New Roman" w:hAnsi="Times New Roman" w:cs="Times New Roman"/>
          </w:rPr>
          <w:t>https://www.fdic.gov/regulations/laws/rules/5000-4800.html</w:t>
        </w:r>
      </w:hyperlink>
    </w:p>
    <w:p w14:paraId="3563F17A" w14:textId="77777777" w:rsidR="009327A8" w:rsidRPr="001A4017" w:rsidRDefault="009327A8" w:rsidP="0096536E">
      <w:pPr>
        <w:pStyle w:val="FootnoteText"/>
      </w:pPr>
    </w:p>
  </w:footnote>
  <w:footnote w:id="3">
    <w:p w14:paraId="316D788A" w14:textId="14831858" w:rsidR="00411001" w:rsidRPr="001A4017" w:rsidRDefault="003C0F7D" w:rsidP="00411001">
      <w:pPr>
        <w:pStyle w:val="xgmail-msofootnotetext"/>
        <w:spacing w:before="0" w:beforeAutospacing="0" w:after="0" w:afterAutospacing="0"/>
        <w:rPr>
          <w:sz w:val="20"/>
          <w:szCs w:val="20"/>
        </w:rPr>
      </w:pPr>
      <w:r>
        <w:rPr>
          <w:rStyle w:val="FootnoteReference"/>
        </w:rPr>
        <w:footnoteRef/>
      </w:r>
      <w:r>
        <w:t xml:space="preserve"> </w:t>
      </w:r>
      <w:r w:rsidRPr="001A4017">
        <w:rPr>
          <w:sz w:val="20"/>
          <w:szCs w:val="20"/>
        </w:rPr>
        <w:t>Our articles go into detail regarding the best ways to measure and represent AVM accuracy. Pleas</w:t>
      </w:r>
      <w:r w:rsidR="004D73AB" w:rsidRPr="001A4017">
        <w:rPr>
          <w:sz w:val="20"/>
          <w:szCs w:val="20"/>
        </w:rPr>
        <w:t>e</w:t>
      </w:r>
      <w:r w:rsidRPr="001A4017">
        <w:rPr>
          <w:sz w:val="20"/>
          <w:szCs w:val="20"/>
        </w:rPr>
        <w:t xml:space="preserve"> see: Isakson, H., Ecker, M.D. and L. Kennedy (2020) "Principles for Calculating AVM Performance Metrics". The Appraisal Journal. Winter 2020, 88(1). pp 14-29. </w:t>
      </w:r>
      <w:r w:rsidR="00411001" w:rsidRPr="001A4017">
        <w:rPr>
          <w:sz w:val="20"/>
          <w:szCs w:val="20"/>
        </w:rPr>
        <w:t xml:space="preserve">See </w:t>
      </w:r>
      <w:r w:rsidRPr="001A4017">
        <w:rPr>
          <w:sz w:val="20"/>
          <w:szCs w:val="20"/>
        </w:rPr>
        <w:t xml:space="preserve">Also: </w:t>
      </w:r>
      <w:r w:rsidR="00411001" w:rsidRPr="001A4017">
        <w:rPr>
          <w:sz w:val="20"/>
          <w:szCs w:val="20"/>
        </w:rPr>
        <w:t xml:space="preserve">Ecker, M., Isakson, H. and L. Kennedy. (2021).  An Exposition of AVM Performance Metrics.  </w:t>
      </w:r>
      <w:r w:rsidR="00411001" w:rsidRPr="001A4017">
        <w:rPr>
          <w:i/>
          <w:iCs/>
          <w:sz w:val="20"/>
          <w:szCs w:val="20"/>
        </w:rPr>
        <w:t>Journal of Real Estate Practice and Education</w:t>
      </w:r>
      <w:r w:rsidR="00411001" w:rsidRPr="001A4017">
        <w:rPr>
          <w:sz w:val="20"/>
          <w:szCs w:val="20"/>
        </w:rPr>
        <w:t xml:space="preserve">.  (Forthcoming).  Currently found at: </w:t>
      </w:r>
      <w:hyperlink r:id="rId3" w:history="1">
        <w:r w:rsidR="00411001" w:rsidRPr="001A4017">
          <w:rPr>
            <w:rStyle w:val="Hyperlink"/>
            <w:color w:val="0563C1"/>
            <w:sz w:val="20"/>
            <w:szCs w:val="20"/>
          </w:rPr>
          <w:t>https://www.researchgate.net/publication/333670561_Exposition_of_AVM_Performance_Metrics_-_Single_File</w:t>
        </w:r>
      </w:hyperlink>
      <w:r w:rsidR="00411001" w:rsidRPr="001A4017">
        <w:rPr>
          <w:sz w:val="20"/>
          <w:szCs w:val="20"/>
        </w:rPr>
        <w:t xml:space="preserve"> . </w:t>
      </w:r>
    </w:p>
    <w:p w14:paraId="642FF256" w14:textId="47EC2C30" w:rsidR="003C0F7D" w:rsidRDefault="00411001" w:rsidP="00411001">
      <w:pPr>
        <w:pStyle w:val="FootnoteText"/>
      </w:pPr>
      <w:r w:rsidRPr="004D73AB" w:rsidDel="00411001">
        <w:rPr>
          <w:highlight w:val="yellow"/>
        </w:rPr>
        <w:t xml:space="preserve"> </w:t>
      </w:r>
    </w:p>
  </w:footnote>
  <w:footnote w:id="4">
    <w:p w14:paraId="1BE1E209" w14:textId="6B3AD399" w:rsidR="00EE3B02" w:rsidRPr="001A4017" w:rsidRDefault="00EE3B02">
      <w:pPr>
        <w:pStyle w:val="FootnoteText"/>
        <w:rPr>
          <w:rFonts w:ascii="Times New Roman" w:hAnsi="Times New Roman" w:cs="Times New Roman"/>
        </w:rPr>
      </w:pPr>
      <w:r>
        <w:rPr>
          <w:rStyle w:val="FootnoteReference"/>
        </w:rPr>
        <w:footnoteRef/>
      </w:r>
      <w:r>
        <w:t xml:space="preserve"> </w:t>
      </w:r>
      <w:r w:rsidRPr="001A4017">
        <w:rPr>
          <w:rFonts w:ascii="Times New Roman" w:hAnsi="Times New Roman" w:cs="Times New Roman"/>
        </w:rPr>
        <w:t>It should be noted that not every AVM will perform similarly at each FSD level. Our internal testing shows that the same FSD score can indicate very different performance for different AVMs.</w:t>
      </w:r>
    </w:p>
  </w:footnote>
  <w:footnote w:id="5">
    <w:p w14:paraId="1BA8BD7E" w14:textId="4FF41A91" w:rsidR="00A17DE4" w:rsidRDefault="00A17DE4">
      <w:pPr>
        <w:pStyle w:val="FootnoteText"/>
        <w:rPr>
          <w:rFonts w:ascii="Times New Roman" w:hAnsi="Times New Roman" w:cs="Times New Roman"/>
        </w:rPr>
      </w:pPr>
      <w:r>
        <w:rPr>
          <w:rStyle w:val="FootnoteReference"/>
        </w:rPr>
        <w:footnoteRef/>
      </w:r>
      <w:r>
        <w:t xml:space="preserve"> </w:t>
      </w:r>
      <w:hyperlink r:id="rId4" w:history="1">
        <w:r w:rsidR="009327A8" w:rsidRPr="003148EE">
          <w:rPr>
            <w:rStyle w:val="Hyperlink"/>
            <w:rFonts w:ascii="Times New Roman" w:hAnsi="Times New Roman" w:cs="Times New Roman"/>
          </w:rPr>
          <w:t>https://www.avmetrics.net/2020/07/02/for-avms-confidence-isnt-overrated/</w:t>
        </w:r>
      </w:hyperlink>
    </w:p>
    <w:p w14:paraId="2E4B423A" w14:textId="77777777" w:rsidR="009327A8" w:rsidRDefault="009327A8">
      <w:pPr>
        <w:pStyle w:val="FootnoteText"/>
      </w:pPr>
    </w:p>
  </w:footnote>
  <w:footnote w:id="6">
    <w:p w14:paraId="3B7ABC2C" w14:textId="7F288F39" w:rsidR="00D655E8" w:rsidRDefault="00D655E8">
      <w:pPr>
        <w:pStyle w:val="FootnoteText"/>
        <w:rPr>
          <w:rFonts w:ascii="Times New Roman" w:hAnsi="Times New Roman" w:cs="Times New Roman"/>
        </w:rPr>
      </w:pPr>
      <w:r>
        <w:rPr>
          <w:rStyle w:val="FootnoteReference"/>
        </w:rPr>
        <w:footnoteRef/>
      </w:r>
      <w:r>
        <w:t xml:space="preserve"> </w:t>
      </w:r>
      <w:r w:rsidRPr="001A4017">
        <w:rPr>
          <w:rFonts w:ascii="Times New Roman" w:hAnsi="Times New Roman" w:cs="Times New Roman"/>
        </w:rPr>
        <w:t xml:space="preserve">See </w:t>
      </w:r>
      <w:hyperlink r:id="rId5" w:history="1">
        <w:r w:rsidR="009327A8" w:rsidRPr="003148EE">
          <w:rPr>
            <w:rStyle w:val="Hyperlink"/>
            <w:rFonts w:ascii="Times New Roman" w:hAnsi="Times New Roman" w:cs="Times New Roman"/>
          </w:rPr>
          <w:t>https://www.moodys.com/research/Moodys-decreases-JP-Morgan-Mortgage-Acquisition-Corps-assessment-to-Average--PR_430194</w:t>
        </w:r>
      </w:hyperlink>
    </w:p>
    <w:p w14:paraId="4A9EA7BE" w14:textId="77777777" w:rsidR="009327A8" w:rsidRPr="00AD0D38" w:rsidRDefault="009327A8">
      <w:pPr>
        <w:pStyle w:val="FootnoteText"/>
        <w:rPr>
          <w:rFonts w:ascii="Times New Roman" w:hAnsi="Times New Roman" w:cs="Times New Roman"/>
          <w:sz w:val="22"/>
          <w:szCs w:val="22"/>
        </w:rPr>
      </w:pPr>
    </w:p>
  </w:footnote>
  <w:footnote w:id="7">
    <w:p w14:paraId="6F1C44DE" w14:textId="63C18146" w:rsidR="003F0146" w:rsidRPr="001A4017" w:rsidRDefault="003F0146" w:rsidP="003F0146">
      <w:pPr>
        <w:pStyle w:val="FootnoteText"/>
        <w:rPr>
          <w:rFonts w:ascii="Times New Roman" w:hAnsi="Times New Roman" w:cs="Times New Roman"/>
        </w:rPr>
      </w:pPr>
      <w:r>
        <w:rPr>
          <w:rStyle w:val="FootnoteReference"/>
        </w:rPr>
        <w:footnoteRef/>
      </w:r>
      <w:r>
        <w:t xml:space="preserve"> </w:t>
      </w:r>
      <w:r w:rsidRPr="001A4017">
        <w:rPr>
          <w:rFonts w:ascii="Times New Roman" w:hAnsi="Times New Roman" w:cs="Times New Roman"/>
        </w:rPr>
        <w:t xml:space="preserve">See Federal Register, Appraisal Subcommittee, Notice of Received Request for Temporary Waiver, dated May 30, 2019, available at: </w:t>
      </w:r>
      <w:hyperlink r:id="rId6" w:history="1">
        <w:r w:rsidRPr="001A4017">
          <w:rPr>
            <w:rStyle w:val="Hyperlink"/>
            <w:rFonts w:ascii="Times New Roman" w:hAnsi="Times New Roman" w:cs="Times New Roman"/>
          </w:rPr>
          <w:t>https://www.federalregister.gov/documents/2020/08/13/2020-17660/appraisal-subcommittee-order-extending-commercial-real-estate-transaction-temporary-waiver-relief</w:t>
        </w:r>
      </w:hyperlink>
    </w:p>
    <w:p w14:paraId="2A8AE4C6" w14:textId="77777777" w:rsidR="003F0146" w:rsidRPr="001A4017" w:rsidRDefault="003F0146" w:rsidP="003F0146">
      <w:pPr>
        <w:pStyle w:val="FootnoteText"/>
        <w:rPr>
          <w:rFonts w:ascii="Times New Roman" w:hAnsi="Times New Roman" w:cs="Times New Roman"/>
        </w:rPr>
      </w:pPr>
    </w:p>
    <w:p w14:paraId="2D77379A" w14:textId="77777777" w:rsidR="003F0146" w:rsidRPr="001A4017" w:rsidRDefault="003F0146" w:rsidP="003F0146">
      <w:pPr>
        <w:pStyle w:val="FootnoteText"/>
        <w:rPr>
          <w:rFonts w:ascii="Times New Roman" w:hAnsi="Times New Roman" w:cs="Times New Roman"/>
        </w:rPr>
      </w:pPr>
      <w:r w:rsidRPr="001A4017">
        <w:rPr>
          <w:rFonts w:ascii="Times New Roman" w:hAnsi="Times New Roman" w:cs="Times New Roman"/>
        </w:rPr>
        <w:t xml:space="preserve">See also Federal Register, Appraisal Subcommittee, Order extending Commercial Estate Transaction Temporary Waiver Relief, dated August 13, 2020, available at: </w:t>
      </w:r>
      <w:hyperlink r:id="rId7" w:history="1">
        <w:r w:rsidRPr="001A4017">
          <w:rPr>
            <w:rStyle w:val="Hyperlink"/>
            <w:rFonts w:ascii="Times New Roman" w:hAnsi="Times New Roman" w:cs="Times New Roman"/>
          </w:rPr>
          <w:t>https://www.federalregister.gov/documents/2019/05/30/2019-11282/appraisal-subcommittee-notice-of-received-request-for-a-temporary-waiver</w:t>
        </w:r>
      </w:hyperlink>
    </w:p>
    <w:p w14:paraId="519CE736" w14:textId="77777777" w:rsidR="003F0146" w:rsidRPr="001A4017" w:rsidRDefault="003F0146" w:rsidP="003F0146">
      <w:pPr>
        <w:pStyle w:val="FootnoteText"/>
        <w:rPr>
          <w:rFonts w:ascii="Times New Roman" w:hAnsi="Times New Roman" w:cs="Times New Roman"/>
        </w:rPr>
      </w:pPr>
    </w:p>
    <w:p w14:paraId="304C4B28" w14:textId="144B3FDC" w:rsidR="003F0146" w:rsidRPr="00AD0D38" w:rsidRDefault="003F0146" w:rsidP="003F0146">
      <w:pPr>
        <w:pStyle w:val="FootnoteText"/>
        <w:rPr>
          <w:rFonts w:ascii="Times New Roman" w:hAnsi="Times New Roman" w:cs="Times New Roman"/>
          <w:sz w:val="22"/>
          <w:szCs w:val="22"/>
        </w:rPr>
      </w:pPr>
      <w:r w:rsidRPr="001A4017">
        <w:rPr>
          <w:rFonts w:ascii="Times New Roman" w:hAnsi="Times New Roman" w:cs="Times New Roman"/>
        </w:rPr>
        <w:t xml:space="preserve">See also Appraisal Subcommittee, Frequently Asked Questions (FAQs): Temporary Waiver Authority, dated December 6, 2019, available at: </w:t>
      </w:r>
      <w:hyperlink r:id="rId8" w:history="1">
        <w:r w:rsidRPr="001A4017">
          <w:rPr>
            <w:rStyle w:val="Hyperlink"/>
            <w:rFonts w:ascii="Times New Roman" w:hAnsi="Times New Roman" w:cs="Times New Roman"/>
          </w:rPr>
          <w:t>https://www.asc.gov/Documents/OtherCorrespondence/2019.12.06%20-%20Temporary%20Waiver%20FAQs%20.pdf</w:t>
        </w:r>
      </w:hyperlink>
    </w:p>
  </w:footnote>
  <w:footnote w:id="8">
    <w:p w14:paraId="56448EF8" w14:textId="2194F8BF" w:rsidR="00241C17" w:rsidRPr="001A4017" w:rsidRDefault="00241C17" w:rsidP="00241C17">
      <w:pPr>
        <w:shd w:val="clear" w:color="auto" w:fill="FFFFFF"/>
        <w:rPr>
          <w:rFonts w:ascii="Times New Roman" w:hAnsi="Times New Roman" w:cs="Times New Roman"/>
          <w:color w:val="222222"/>
          <w:sz w:val="20"/>
          <w:szCs w:val="20"/>
        </w:rPr>
      </w:pPr>
      <w:r>
        <w:rPr>
          <w:rStyle w:val="FootnoteReference"/>
        </w:rPr>
        <w:footnoteRef/>
      </w:r>
      <w:r>
        <w:t xml:space="preserve"> </w:t>
      </w:r>
      <w:r w:rsidRPr="001A4017">
        <w:rPr>
          <w:rFonts w:ascii="Times New Roman" w:hAnsi="Times New Roman" w:cs="Times New Roman"/>
          <w:sz w:val="20"/>
          <w:szCs w:val="20"/>
        </w:rPr>
        <w:t xml:space="preserve">Two examples include: </w:t>
      </w:r>
      <w:r w:rsidRPr="001A4017">
        <w:rPr>
          <w:rFonts w:ascii="Times New Roman" w:hAnsi="Times New Roman" w:cs="Times New Roman"/>
          <w:color w:val="222222"/>
          <w:sz w:val="20"/>
          <w:szCs w:val="20"/>
        </w:rPr>
        <w:t>NatureQuant: </w:t>
      </w:r>
      <w:hyperlink r:id="rId9" w:tgtFrame="_blank" w:history="1">
        <w:r w:rsidRPr="001A4017">
          <w:rPr>
            <w:rStyle w:val="Hyperlink"/>
            <w:rFonts w:ascii="Times New Roman" w:hAnsi="Times New Roman" w:cs="Times New Roman"/>
            <w:color w:val="1155CC"/>
            <w:sz w:val="20"/>
            <w:szCs w:val="20"/>
          </w:rPr>
          <w:t>https://www.naturequant.com/naturescore/</w:t>
        </w:r>
      </w:hyperlink>
      <w:r w:rsidRPr="001A4017">
        <w:rPr>
          <w:rFonts w:ascii="Times New Roman" w:hAnsi="Times New Roman" w:cs="Times New Roman"/>
          <w:color w:val="222222"/>
          <w:sz w:val="20"/>
          <w:szCs w:val="20"/>
        </w:rPr>
        <w:t xml:space="preserve">   AVMetrics has conducted preliminary analysis on the </w:t>
      </w:r>
      <w:proofErr w:type="spellStart"/>
      <w:r w:rsidRPr="001A4017">
        <w:rPr>
          <w:rFonts w:ascii="Times New Roman" w:hAnsi="Times New Roman" w:cs="Times New Roman"/>
          <w:color w:val="222222"/>
          <w:sz w:val="20"/>
          <w:szCs w:val="20"/>
        </w:rPr>
        <w:t>NatureScore</w:t>
      </w:r>
      <w:proofErr w:type="spellEnd"/>
      <w:r w:rsidRPr="001A4017">
        <w:rPr>
          <w:rFonts w:ascii="Times New Roman" w:hAnsi="Times New Roman" w:cs="Times New Roman"/>
          <w:color w:val="222222"/>
          <w:sz w:val="20"/>
          <w:szCs w:val="20"/>
        </w:rPr>
        <w:t>, and it has shown a positive correlation to the traditional appraisal process of valuing external influences on a property.</w:t>
      </w:r>
    </w:p>
    <w:p w14:paraId="1F2DA373" w14:textId="73623E15" w:rsidR="00241C17" w:rsidRPr="00C22A27" w:rsidRDefault="00241C17" w:rsidP="00241C17">
      <w:pPr>
        <w:shd w:val="clear" w:color="auto" w:fill="FFFFFF"/>
        <w:rPr>
          <w:rFonts w:ascii="Times New Roman" w:hAnsi="Times New Roman" w:cs="Times New Roman"/>
          <w:color w:val="222222"/>
          <w:sz w:val="22"/>
          <w:szCs w:val="22"/>
        </w:rPr>
      </w:pPr>
      <w:r w:rsidRPr="001A4017">
        <w:rPr>
          <w:rFonts w:ascii="Times New Roman" w:hAnsi="Times New Roman" w:cs="Times New Roman"/>
          <w:color w:val="222222"/>
          <w:sz w:val="20"/>
          <w:szCs w:val="20"/>
        </w:rPr>
        <w:t>Cape Analytics: </w:t>
      </w:r>
      <w:hyperlink r:id="rId10" w:tgtFrame="_blank" w:history="1">
        <w:r w:rsidRPr="001A4017">
          <w:rPr>
            <w:rStyle w:val="Hyperlink"/>
            <w:rFonts w:ascii="Times New Roman" w:hAnsi="Times New Roman" w:cs="Times New Roman"/>
            <w:color w:val="1155CC"/>
            <w:sz w:val="20"/>
            <w:szCs w:val="20"/>
          </w:rPr>
          <w:t>https://capeanalytics.com/real-estate/</w:t>
        </w:r>
      </w:hyperlink>
      <w:r w:rsidRPr="001A4017">
        <w:rPr>
          <w:rFonts w:ascii="Times New Roman" w:hAnsi="Times New Roman" w:cs="Times New Roman"/>
          <w:color w:val="222222"/>
          <w:sz w:val="20"/>
          <w:szCs w:val="20"/>
        </w:rPr>
        <w:t> They have developed model digestible property condition data, and they are currently being used for conditional property adjustments enhancing an AVM</w:t>
      </w:r>
      <w:r>
        <w:rPr>
          <w:rFonts w:ascii="Times New Roman" w:hAnsi="Times New Roman" w:cs="Times New Roman"/>
          <w:color w:val="222222"/>
          <w:sz w:val="22"/>
          <w:szCs w:val="22"/>
        </w:rPr>
        <w:t>.</w:t>
      </w:r>
    </w:p>
    <w:p w14:paraId="26941EE5" w14:textId="34E44713" w:rsidR="00241C17" w:rsidRDefault="00241C1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7D540" w14:textId="77777777" w:rsidR="00B469A5" w:rsidRDefault="00694CB6" w:rsidP="00C22A27">
    <w:pPr>
      <w:pStyle w:val="Header"/>
      <w:spacing w:after="360"/>
    </w:pPr>
    <w:r>
      <w:rPr>
        <w:noProof/>
        <w:lang w:eastAsia="en-US"/>
      </w:rPr>
      <mc:AlternateContent>
        <mc:Choice Requires="wps">
          <w:drawing>
            <wp:anchor distT="0" distB="0" distL="114300" distR="114300" simplePos="0" relativeHeight="251659264" behindDoc="0" locked="0" layoutInCell="1" allowOverlap="1" wp14:anchorId="5AC1689A" wp14:editId="48D6CDFC">
              <wp:simplePos x="0" y="0"/>
              <wp:positionH relativeFrom="page">
                <wp:posOffset>685800</wp:posOffset>
              </wp:positionH>
              <wp:positionV relativeFrom="page">
                <wp:posOffset>685800</wp:posOffset>
              </wp:positionV>
              <wp:extent cx="6400800" cy="0"/>
              <wp:effectExtent l="0" t="38100" r="57150" b="57150"/>
              <wp:wrapNone/>
              <wp:docPr id="1" name="Straight Connector 1" title="Line design element"/>
              <wp:cNvGraphicFramePr/>
              <a:graphic xmlns:a="http://schemas.openxmlformats.org/drawingml/2006/main">
                <a:graphicData uri="http://schemas.microsoft.com/office/word/2010/wordprocessingShape">
                  <wps:wsp>
                    <wps:cNvCnPr/>
                    <wps:spPr>
                      <a:xfrm>
                        <a:off x="0" y="0"/>
                        <a:ext cx="6400800" cy="0"/>
                      </a:xfrm>
                      <a:prstGeom prst="line">
                        <a:avLst/>
                      </a:prstGeom>
                      <a:ln w="952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C78639" id="Straight Connector 1" o:spid="_x0000_s1026" alt="Title: Line design element"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54pt" to="55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" strokecolor="#333 [3215]" strokeweight="7.5pt">
              <v:stroke joinstyle="miter"/>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967EE" w14:textId="77777777" w:rsidR="00B469A5" w:rsidRDefault="00694CB6">
    <w:pPr>
      <w:pStyle w:val="Header"/>
    </w:pPr>
    <w:r>
      <w:rPr>
        <w:noProof/>
        <w:lang w:eastAsia="en-US"/>
      </w:rPr>
      <mc:AlternateContent>
        <mc:Choice Requires="wps">
          <w:drawing>
            <wp:anchor distT="0" distB="0" distL="114300" distR="114300" simplePos="0" relativeHeight="251664384" behindDoc="0" locked="0" layoutInCell="1" allowOverlap="1" wp14:anchorId="6A580204" wp14:editId="4D5252FB">
              <wp:simplePos x="0" y="0"/>
              <wp:positionH relativeFrom="page">
                <wp:posOffset>685800</wp:posOffset>
              </wp:positionH>
              <wp:positionV relativeFrom="page">
                <wp:posOffset>685800</wp:posOffset>
              </wp:positionV>
              <wp:extent cx="6400800" cy="0"/>
              <wp:effectExtent l="0" t="38100" r="57150" b="57150"/>
              <wp:wrapNone/>
              <wp:docPr id="8" name="Straight Connector 8" title="Line design element"/>
              <wp:cNvGraphicFramePr/>
              <a:graphic xmlns:a="http://schemas.openxmlformats.org/drawingml/2006/main">
                <a:graphicData uri="http://schemas.microsoft.com/office/word/2010/wordprocessingShape">
                  <wps:wsp>
                    <wps:cNvCnPr/>
                    <wps:spPr>
                      <a:xfrm>
                        <a:off x="0" y="0"/>
                        <a:ext cx="6400800" cy="0"/>
                      </a:xfrm>
                      <a:prstGeom prst="line">
                        <a:avLst/>
                      </a:prstGeom>
                      <a:ln w="952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D28B42" id="Straight Connector 8" o:spid="_x0000_s1026" alt="Title: Line design element"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54pt" to="55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" strokecolor="#333 [3215]" strokeweight="7.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B31F33"/>
    <w:multiLevelType w:val="hybridMultilevel"/>
    <w:tmpl w:val="0CBE44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attachedTemplate r:id="rId1"/>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191"/>
    <w:rsid w:val="000109CB"/>
    <w:rsid w:val="00015021"/>
    <w:rsid w:val="00024CE6"/>
    <w:rsid w:val="000625D1"/>
    <w:rsid w:val="00074F73"/>
    <w:rsid w:val="00095854"/>
    <w:rsid w:val="000A79B1"/>
    <w:rsid w:val="000B12F1"/>
    <w:rsid w:val="000B3566"/>
    <w:rsid w:val="000F1F87"/>
    <w:rsid w:val="000F6245"/>
    <w:rsid w:val="00101679"/>
    <w:rsid w:val="00117AB8"/>
    <w:rsid w:val="00193A92"/>
    <w:rsid w:val="001A4017"/>
    <w:rsid w:val="001A41F4"/>
    <w:rsid w:val="001A554F"/>
    <w:rsid w:val="001D6719"/>
    <w:rsid w:val="00224D6C"/>
    <w:rsid w:val="002349A7"/>
    <w:rsid w:val="00241C17"/>
    <w:rsid w:val="00246FAF"/>
    <w:rsid w:val="002634F1"/>
    <w:rsid w:val="00283E46"/>
    <w:rsid w:val="0029732A"/>
    <w:rsid w:val="002C4281"/>
    <w:rsid w:val="002E32E5"/>
    <w:rsid w:val="00315FF3"/>
    <w:rsid w:val="00345B39"/>
    <w:rsid w:val="00375FBE"/>
    <w:rsid w:val="0037788D"/>
    <w:rsid w:val="00387239"/>
    <w:rsid w:val="00390E53"/>
    <w:rsid w:val="003C0F7D"/>
    <w:rsid w:val="003E1DED"/>
    <w:rsid w:val="003F0146"/>
    <w:rsid w:val="003F1822"/>
    <w:rsid w:val="004038E3"/>
    <w:rsid w:val="0040626E"/>
    <w:rsid w:val="00411001"/>
    <w:rsid w:val="004605EA"/>
    <w:rsid w:val="00480C57"/>
    <w:rsid w:val="004B5668"/>
    <w:rsid w:val="004C6545"/>
    <w:rsid w:val="004D206A"/>
    <w:rsid w:val="004D73AB"/>
    <w:rsid w:val="005267A3"/>
    <w:rsid w:val="0054134D"/>
    <w:rsid w:val="0057793D"/>
    <w:rsid w:val="005B6092"/>
    <w:rsid w:val="005C4489"/>
    <w:rsid w:val="005E7771"/>
    <w:rsid w:val="0061452E"/>
    <w:rsid w:val="00615B84"/>
    <w:rsid w:val="00675433"/>
    <w:rsid w:val="00686E7E"/>
    <w:rsid w:val="00694CB6"/>
    <w:rsid w:val="00697BCA"/>
    <w:rsid w:val="00697D9D"/>
    <w:rsid w:val="006C12C2"/>
    <w:rsid w:val="006C490E"/>
    <w:rsid w:val="006C6E8A"/>
    <w:rsid w:val="006E57D7"/>
    <w:rsid w:val="00720765"/>
    <w:rsid w:val="00724DC9"/>
    <w:rsid w:val="0073781C"/>
    <w:rsid w:val="0074076C"/>
    <w:rsid w:val="007825F9"/>
    <w:rsid w:val="00786D1D"/>
    <w:rsid w:val="007910B1"/>
    <w:rsid w:val="007A15E2"/>
    <w:rsid w:val="007B67D4"/>
    <w:rsid w:val="007C52AE"/>
    <w:rsid w:val="007D65A3"/>
    <w:rsid w:val="007E39F6"/>
    <w:rsid w:val="0089434B"/>
    <w:rsid w:val="008A4255"/>
    <w:rsid w:val="008C0670"/>
    <w:rsid w:val="008E1DDD"/>
    <w:rsid w:val="008E4CCE"/>
    <w:rsid w:val="008F3B6B"/>
    <w:rsid w:val="008F49B4"/>
    <w:rsid w:val="009327A8"/>
    <w:rsid w:val="00934BF0"/>
    <w:rsid w:val="009422BA"/>
    <w:rsid w:val="00961C5D"/>
    <w:rsid w:val="0096536E"/>
    <w:rsid w:val="0099687D"/>
    <w:rsid w:val="009C31D6"/>
    <w:rsid w:val="009E45F4"/>
    <w:rsid w:val="009E7740"/>
    <w:rsid w:val="00A13A5A"/>
    <w:rsid w:val="00A17DE4"/>
    <w:rsid w:val="00A475F2"/>
    <w:rsid w:val="00A7535A"/>
    <w:rsid w:val="00AA1A7A"/>
    <w:rsid w:val="00AB0BC0"/>
    <w:rsid w:val="00AB2AFD"/>
    <w:rsid w:val="00AB78BE"/>
    <w:rsid w:val="00AD0D38"/>
    <w:rsid w:val="00AD339E"/>
    <w:rsid w:val="00AE47D3"/>
    <w:rsid w:val="00B12359"/>
    <w:rsid w:val="00B469A5"/>
    <w:rsid w:val="00B53929"/>
    <w:rsid w:val="00B571CF"/>
    <w:rsid w:val="00B8251A"/>
    <w:rsid w:val="00BB4D3B"/>
    <w:rsid w:val="00BB6EFE"/>
    <w:rsid w:val="00BC1BE4"/>
    <w:rsid w:val="00BE5638"/>
    <w:rsid w:val="00BE72F6"/>
    <w:rsid w:val="00BF1474"/>
    <w:rsid w:val="00BF3EF2"/>
    <w:rsid w:val="00BF4BA2"/>
    <w:rsid w:val="00C1617B"/>
    <w:rsid w:val="00C22A27"/>
    <w:rsid w:val="00C264FF"/>
    <w:rsid w:val="00C371F7"/>
    <w:rsid w:val="00C47191"/>
    <w:rsid w:val="00C5494D"/>
    <w:rsid w:val="00C55380"/>
    <w:rsid w:val="00C8281A"/>
    <w:rsid w:val="00C87C48"/>
    <w:rsid w:val="00C903B7"/>
    <w:rsid w:val="00C9103F"/>
    <w:rsid w:val="00CA23C5"/>
    <w:rsid w:val="00CD03B1"/>
    <w:rsid w:val="00CE4F5C"/>
    <w:rsid w:val="00D105A4"/>
    <w:rsid w:val="00D339C4"/>
    <w:rsid w:val="00D60C5F"/>
    <w:rsid w:val="00D6551A"/>
    <w:rsid w:val="00D655E8"/>
    <w:rsid w:val="00D67D4E"/>
    <w:rsid w:val="00D801E5"/>
    <w:rsid w:val="00D9142A"/>
    <w:rsid w:val="00DD231B"/>
    <w:rsid w:val="00DF3105"/>
    <w:rsid w:val="00E029C6"/>
    <w:rsid w:val="00E22102"/>
    <w:rsid w:val="00E438A2"/>
    <w:rsid w:val="00E44A08"/>
    <w:rsid w:val="00E51252"/>
    <w:rsid w:val="00E70404"/>
    <w:rsid w:val="00E96DF6"/>
    <w:rsid w:val="00EB276B"/>
    <w:rsid w:val="00EB7108"/>
    <w:rsid w:val="00EE3B02"/>
    <w:rsid w:val="00F3352F"/>
    <w:rsid w:val="00F433A0"/>
    <w:rsid w:val="00F569EF"/>
    <w:rsid w:val="00F73F58"/>
    <w:rsid w:val="00F96019"/>
    <w:rsid w:val="00FB048F"/>
    <w:rsid w:val="00FB62C5"/>
    <w:rsid w:val="00FF6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8BA089"/>
  <w15:chartTrackingRefBased/>
  <w15:docId w15:val="{205EEBD5-EB30-408A-9D84-746BE145C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pPr>
        <w:spacing w:after="24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iPriority="4"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after="0" w:line="240" w:lineRule="auto"/>
      <w:outlineLvl w:val="0"/>
    </w:pPr>
    <w:rPr>
      <w:rFonts w:asciiTheme="majorHAnsi" w:eastAsiaTheme="majorEastAsia" w:hAnsiTheme="majorHAnsi" w:cstheme="majorBidi"/>
      <w:color w:val="333333" w:themeColor="text2"/>
      <w:sz w:val="48"/>
      <w:szCs w:val="32"/>
    </w:rPr>
  </w:style>
  <w:style w:type="paragraph" w:styleId="Heading2">
    <w:name w:val="heading 2"/>
    <w:basedOn w:val="Normal"/>
    <w:next w:val="Normal"/>
    <w:link w:val="Heading2Char"/>
    <w:uiPriority w:val="9"/>
    <w:semiHidden/>
    <w:unhideWhenUsed/>
    <w:qFormat/>
    <w:pPr>
      <w:keepNext/>
      <w:keepLines/>
      <w:spacing w:after="480"/>
      <w:outlineLvl w:val="1"/>
    </w:pPr>
    <w:rPr>
      <w:rFonts w:cstheme="majorBidi"/>
      <w:color w:val="333333" w:themeColor="text2"/>
      <w:sz w:val="32"/>
      <w:szCs w:val="26"/>
    </w:rPr>
  </w:style>
  <w:style w:type="paragraph" w:styleId="Heading3">
    <w:name w:val="heading 3"/>
    <w:basedOn w:val="Normal"/>
    <w:next w:val="Normal"/>
    <w:link w:val="Heading3Char"/>
    <w:uiPriority w:val="9"/>
    <w:semiHidden/>
    <w:unhideWhenUsed/>
    <w:qFormat/>
    <w:pPr>
      <w:keepNext/>
      <w:keepLines/>
      <w:spacing w:after="0" w:line="240" w:lineRule="auto"/>
      <w:outlineLvl w:val="2"/>
    </w:pPr>
    <w:rPr>
      <w:rFonts w:asciiTheme="majorHAnsi" w:eastAsiaTheme="majorEastAsia" w:hAnsiTheme="majorHAnsi" w:cstheme="majorBidi"/>
      <w:color w:val="B42C1A" w:themeColor="accent1" w:themeShade="BF"/>
      <w:sz w:val="32"/>
    </w:rPr>
  </w:style>
  <w:style w:type="paragraph" w:styleId="Heading4">
    <w:name w:val="heading 4"/>
    <w:basedOn w:val="Normal"/>
    <w:next w:val="Normal"/>
    <w:link w:val="Heading4Char"/>
    <w:uiPriority w:val="9"/>
    <w:semiHidden/>
    <w:unhideWhenUsed/>
    <w:qFormat/>
    <w:pPr>
      <w:keepNext/>
      <w:keepLines/>
      <w:spacing w:after="360" w:line="240" w:lineRule="auto"/>
      <w:outlineLvl w:val="3"/>
    </w:pPr>
    <w:rPr>
      <w:rFonts w:cstheme="majorBidi"/>
      <w:iCs/>
      <w:color w:val="595959" w:themeColor="text1" w:themeTint="A6"/>
      <w:sz w:val="32"/>
    </w:rPr>
  </w:style>
  <w:style w:type="paragraph" w:styleId="Heading5">
    <w:name w:val="heading 5"/>
    <w:basedOn w:val="Normal"/>
    <w:next w:val="Normal"/>
    <w:link w:val="Heading5Char"/>
    <w:uiPriority w:val="9"/>
    <w:semiHidden/>
    <w:unhideWhenUsed/>
    <w:qFormat/>
    <w:pPr>
      <w:keepNext/>
      <w:keepLines/>
      <w:spacing w:after="0" w:line="240" w:lineRule="auto"/>
      <w:outlineLvl w:val="4"/>
    </w:pPr>
    <w:rPr>
      <w:rFonts w:asciiTheme="majorHAnsi" w:eastAsiaTheme="majorEastAsia" w:hAnsiTheme="majorHAnsi" w:cstheme="majorBidi"/>
      <w:b/>
      <w:color w:val="333333" w:themeColor="text2"/>
      <w:sz w:val="28"/>
    </w:rPr>
  </w:style>
  <w:style w:type="paragraph" w:styleId="Heading6">
    <w:name w:val="heading 6"/>
    <w:basedOn w:val="Normal"/>
    <w:next w:val="Normal"/>
    <w:link w:val="Heading6Char"/>
    <w:uiPriority w:val="9"/>
    <w:semiHidden/>
    <w:unhideWhenUsed/>
    <w:qFormat/>
    <w:pPr>
      <w:keepNext/>
      <w:keepLines/>
      <w:spacing w:line="240" w:lineRule="auto"/>
      <w:outlineLvl w:val="5"/>
    </w:pPr>
    <w:rPr>
      <w:rFonts w:cstheme="majorBidi"/>
      <w:color w:val="B42C1A" w:themeColor="accent1" w:themeShade="BF"/>
      <w:sz w:val="28"/>
    </w:rPr>
  </w:style>
  <w:style w:type="paragraph" w:styleId="Heading7">
    <w:name w:val="heading 7"/>
    <w:basedOn w:val="Normal"/>
    <w:next w:val="Normal"/>
    <w:link w:val="Heading7Char"/>
    <w:uiPriority w:val="9"/>
    <w:semiHidden/>
    <w:unhideWhenUsed/>
    <w:qFormat/>
    <w:pPr>
      <w:keepNext/>
      <w:keepLines/>
      <w:spacing w:after="0" w:line="240" w:lineRule="auto"/>
      <w:outlineLvl w:val="6"/>
    </w:pPr>
    <w:rPr>
      <w:rFonts w:asciiTheme="majorHAnsi" w:eastAsiaTheme="majorEastAsia" w:hAnsiTheme="majorHAnsi" w:cstheme="majorBidi"/>
      <w:b/>
      <w:iCs/>
      <w:color w:val="333333" w:themeColor="text2"/>
    </w:rPr>
  </w:style>
  <w:style w:type="paragraph" w:styleId="Heading8">
    <w:name w:val="heading 8"/>
    <w:basedOn w:val="Normal"/>
    <w:next w:val="Normal"/>
    <w:link w:val="Heading8Char"/>
    <w:uiPriority w:val="9"/>
    <w:semiHidden/>
    <w:unhideWhenUsed/>
    <w:qFormat/>
    <w:pPr>
      <w:keepNext/>
      <w:keepLines/>
      <w:spacing w:after="0" w:line="240" w:lineRule="auto"/>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unhideWhenUsed/>
    <w:qFormat/>
    <w:pPr>
      <w:keepNext/>
      <w:keepLines/>
      <w:spacing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B42C1A" w:themeColor="accent1" w:themeShade="BF"/>
      <w:spacing w:val="0"/>
    </w:rPr>
  </w:style>
  <w:style w:type="paragraph" w:customStyle="1" w:styleId="ContactInfo">
    <w:name w:val="Contact Info"/>
    <w:basedOn w:val="Normal"/>
    <w:uiPriority w:val="2"/>
    <w:unhideWhenUsed/>
    <w:qFormat/>
    <w:pPr>
      <w:spacing w:before="360" w:after="360"/>
      <w:contextualSpacing/>
    </w:pPr>
    <w:rPr>
      <w:color w:val="595959" w:themeColor="text1" w:themeTint="A6"/>
      <w:sz w:val="22"/>
      <w:szCs w:val="20"/>
      <w:lang w:eastAsia="en-US"/>
    </w:rPr>
  </w:style>
  <w:style w:type="paragraph" w:styleId="Closing">
    <w:name w:val="Closing"/>
    <w:basedOn w:val="Normal"/>
    <w:next w:val="Signature"/>
    <w:link w:val="ClosingChar"/>
    <w:uiPriority w:val="5"/>
    <w:unhideWhenUsed/>
    <w:qFormat/>
    <w:pPr>
      <w:spacing w:before="720" w:after="0" w:line="240" w:lineRule="auto"/>
    </w:pPr>
    <w:rPr>
      <w:bCs/>
      <w:szCs w:val="18"/>
      <w:lang w:eastAsia="en-US"/>
    </w:rPr>
  </w:style>
  <w:style w:type="character" w:customStyle="1" w:styleId="ClosingChar">
    <w:name w:val="Closing Char"/>
    <w:basedOn w:val="DefaultParagraphFont"/>
    <w:link w:val="Closing"/>
    <w:uiPriority w:val="5"/>
    <w:rPr>
      <w:bCs/>
      <w:szCs w:val="18"/>
      <w:lang w:eastAsia="en-US"/>
    </w:rPr>
  </w:style>
  <w:style w:type="paragraph" w:styleId="Date">
    <w:name w:val="Date"/>
    <w:basedOn w:val="Normal"/>
    <w:next w:val="Normal"/>
    <w:link w:val="DateChar"/>
    <w:uiPriority w:val="1"/>
    <w:unhideWhenUsed/>
    <w:qFormat/>
    <w:pPr>
      <w:spacing w:before="540" w:after="360" w:line="240" w:lineRule="auto"/>
      <w:contextualSpacing/>
    </w:pPr>
    <w:rPr>
      <w:bCs/>
      <w:color w:val="B42C1A" w:themeColor="accent1" w:themeShade="BF"/>
      <w:sz w:val="22"/>
      <w:szCs w:val="18"/>
      <w:lang w:eastAsia="en-US"/>
    </w:rPr>
  </w:style>
  <w:style w:type="character" w:customStyle="1" w:styleId="DateChar">
    <w:name w:val="Date Char"/>
    <w:basedOn w:val="DefaultParagraphFont"/>
    <w:link w:val="Date"/>
    <w:uiPriority w:val="1"/>
    <w:rPr>
      <w:bCs/>
      <w:color w:val="B42C1A" w:themeColor="accent1" w:themeShade="BF"/>
      <w:sz w:val="22"/>
      <w:szCs w:val="18"/>
      <w:lang w:eastAsia="en-US"/>
    </w:rPr>
  </w:style>
  <w:style w:type="paragraph" w:styleId="Salutation">
    <w:name w:val="Salutation"/>
    <w:basedOn w:val="Normal"/>
    <w:next w:val="Normal"/>
    <w:link w:val="SalutationChar"/>
    <w:uiPriority w:val="4"/>
    <w:unhideWhenUsed/>
    <w:qFormat/>
    <w:pPr>
      <w:spacing w:before="800" w:after="180" w:line="240" w:lineRule="auto"/>
    </w:pPr>
    <w:rPr>
      <w:bCs/>
      <w:szCs w:val="18"/>
      <w:lang w:eastAsia="en-US"/>
    </w:rPr>
  </w:style>
  <w:style w:type="character" w:customStyle="1" w:styleId="SalutationChar">
    <w:name w:val="Salutation Char"/>
    <w:basedOn w:val="DefaultParagraphFont"/>
    <w:link w:val="Salutation"/>
    <w:uiPriority w:val="4"/>
    <w:rPr>
      <w:bCs/>
      <w:szCs w:val="18"/>
      <w:lang w:eastAsia="en-US"/>
    </w:rPr>
  </w:style>
  <w:style w:type="paragraph" w:styleId="Signature">
    <w:name w:val="Signature"/>
    <w:basedOn w:val="Normal"/>
    <w:next w:val="Normal"/>
    <w:link w:val="SignatureChar"/>
    <w:uiPriority w:val="6"/>
    <w:unhideWhenUsed/>
    <w:qFormat/>
    <w:pPr>
      <w:spacing w:before="720" w:after="280" w:line="240" w:lineRule="auto"/>
      <w:contextualSpacing/>
    </w:pPr>
    <w:rPr>
      <w:bCs/>
      <w:color w:val="262626" w:themeColor="text1" w:themeTint="D9"/>
      <w:szCs w:val="18"/>
      <w:lang w:eastAsia="en-US"/>
    </w:rPr>
  </w:style>
  <w:style w:type="character" w:customStyle="1" w:styleId="SignatureChar">
    <w:name w:val="Signature Char"/>
    <w:basedOn w:val="DefaultParagraphFont"/>
    <w:link w:val="Signature"/>
    <w:uiPriority w:val="6"/>
    <w:rPr>
      <w:bCs/>
      <w:color w:val="262626" w:themeColor="text1" w:themeTint="D9"/>
      <w:szCs w:val="18"/>
      <w:lang w:eastAsia="en-US"/>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spacing w:after="0" w:line="240" w:lineRule="auto"/>
    </w:pPr>
    <w:rPr>
      <w:rFonts w:ascii="Garamond" w:hAnsi="Garamond"/>
      <w:color w:val="595959" w:themeColor="text1" w:themeTint="A6"/>
      <w:sz w:val="20"/>
    </w:rPr>
  </w:style>
  <w:style w:type="paragraph" w:customStyle="1" w:styleId="CompanyName">
    <w:name w:val="Company Name"/>
    <w:basedOn w:val="Normal"/>
    <w:next w:val="Normal"/>
    <w:uiPriority w:val="1"/>
    <w:qFormat/>
    <w:pPr>
      <w:spacing w:after="120" w:line="240" w:lineRule="auto"/>
    </w:pPr>
    <w:rPr>
      <w:rFonts w:ascii="Garamond" w:hAnsi="Garamond"/>
      <w:color w:val="B42C1A" w:themeColor="accent1" w:themeShade="BF"/>
      <w:sz w:val="56"/>
    </w:rPr>
  </w:style>
  <w:style w:type="character" w:customStyle="1" w:styleId="HeaderChar">
    <w:name w:val="Header Char"/>
    <w:basedOn w:val="DefaultParagraphFont"/>
    <w:link w:val="Header"/>
    <w:uiPriority w:val="99"/>
    <w:rPr>
      <w:rFonts w:ascii="Garamond" w:hAnsi="Garamond"/>
      <w:color w:val="595959" w:themeColor="text1" w:themeTint="A6"/>
      <w:sz w:val="20"/>
    </w:rPr>
  </w:style>
  <w:style w:type="paragraph" w:styleId="Footer">
    <w:name w:val="footer"/>
    <w:basedOn w:val="Normal"/>
    <w:link w:val="FooterChar"/>
    <w:uiPriority w:val="99"/>
    <w:unhideWhenUsed/>
    <w:pPr>
      <w:spacing w:after="0" w:line="240" w:lineRule="auto"/>
    </w:pPr>
    <w:rPr>
      <w:rFonts w:ascii="Garamond" w:hAnsi="Garamond"/>
      <w:caps/>
      <w:color w:val="B42C1A" w:themeColor="accent1" w:themeShade="BF"/>
      <w:sz w:val="18"/>
    </w:rPr>
  </w:style>
  <w:style w:type="character" w:customStyle="1" w:styleId="FooterChar">
    <w:name w:val="Footer Char"/>
    <w:basedOn w:val="DefaultParagraphFont"/>
    <w:link w:val="Footer"/>
    <w:uiPriority w:val="99"/>
    <w:rPr>
      <w:rFonts w:ascii="Garamond" w:hAnsi="Garamond"/>
      <w:caps/>
      <w:color w:val="B42C1A" w:themeColor="accent1" w:themeShade="BF"/>
      <w:sz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b w:val="0"/>
      <w:i w:val="0"/>
      <w:iCs/>
      <w:color w:val="000000" w:themeColor="text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33333" w:themeColor="text2"/>
      <w:sz w:val="48"/>
      <w:szCs w:val="32"/>
    </w:rPr>
  </w:style>
  <w:style w:type="character" w:customStyle="1" w:styleId="Heading2Char">
    <w:name w:val="Heading 2 Char"/>
    <w:basedOn w:val="DefaultParagraphFont"/>
    <w:link w:val="Heading2"/>
    <w:uiPriority w:val="9"/>
    <w:semiHidden/>
    <w:rPr>
      <w:rFonts w:cstheme="majorBidi"/>
      <w:color w:val="333333" w:themeColor="text2"/>
      <w:sz w:val="32"/>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B42C1A" w:themeColor="accent1" w:themeShade="BF"/>
      <w:sz w:val="32"/>
    </w:rPr>
  </w:style>
  <w:style w:type="character" w:customStyle="1" w:styleId="Heading4Char">
    <w:name w:val="Heading 4 Char"/>
    <w:basedOn w:val="DefaultParagraphFont"/>
    <w:link w:val="Heading4"/>
    <w:uiPriority w:val="9"/>
    <w:semiHidden/>
    <w:rPr>
      <w:rFonts w:cstheme="majorBidi"/>
      <w:iCs/>
      <w:color w:val="595959" w:themeColor="text1" w:themeTint="A6"/>
      <w:sz w:val="3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333333" w:themeColor="text2"/>
      <w:sz w:val="28"/>
    </w:rPr>
  </w:style>
  <w:style w:type="character" w:customStyle="1" w:styleId="Heading6Char">
    <w:name w:val="Heading 6 Char"/>
    <w:basedOn w:val="DefaultParagraphFont"/>
    <w:link w:val="Heading6"/>
    <w:uiPriority w:val="9"/>
    <w:semiHidden/>
    <w:rPr>
      <w:rFonts w:cstheme="majorBidi"/>
      <w:color w:val="B42C1A" w:themeColor="accent1" w:themeShade="BF"/>
      <w:sz w:val="28"/>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color w:val="333333" w:themeColor="tex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2"/>
      <w:szCs w:val="21"/>
    </w:rPr>
  </w:style>
  <w:style w:type="paragraph" w:styleId="TOCHeading">
    <w:name w:val="TOC Heading"/>
    <w:basedOn w:val="Heading1"/>
    <w:next w:val="Normal"/>
    <w:uiPriority w:val="39"/>
    <w:semiHidden/>
    <w:unhideWhenUsed/>
    <w:qFormat/>
    <w:pPr>
      <w:outlineLvl w:val="9"/>
    </w:p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Quote">
    <w:name w:val="Quote"/>
    <w:basedOn w:val="Normal"/>
    <w:next w:val="Normal"/>
    <w:link w:val="QuoteChar"/>
    <w:uiPriority w:val="29"/>
    <w:semiHidden/>
    <w:unhideWhenUsed/>
    <w:qFormat/>
    <w:pPr>
      <w:spacing w:before="240"/>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IntenseQuote">
    <w:name w:val="Intense Quote"/>
    <w:basedOn w:val="Normal"/>
    <w:next w:val="Normal"/>
    <w:link w:val="IntenseQuoteChar"/>
    <w:uiPriority w:val="30"/>
    <w:semiHidden/>
    <w:unhideWhenUsed/>
    <w:qFormat/>
    <w:pPr>
      <w:pBdr>
        <w:top w:val="single" w:sz="4" w:space="10" w:color="B42C1A" w:themeColor="accent1" w:themeShade="BF"/>
        <w:bottom w:val="single" w:sz="4" w:space="10" w:color="B42C1A" w:themeColor="accent1" w:themeShade="BF"/>
      </w:pBdr>
      <w:spacing w:before="360" w:after="360"/>
    </w:pPr>
    <w:rPr>
      <w:i/>
      <w:iCs/>
      <w:color w:val="B42C1A" w:themeColor="accent1" w:themeShade="BF"/>
    </w:rPr>
  </w:style>
  <w:style w:type="character" w:customStyle="1" w:styleId="IntenseQuoteChar">
    <w:name w:val="Intense Quote Char"/>
    <w:basedOn w:val="DefaultParagraphFont"/>
    <w:link w:val="IntenseQuote"/>
    <w:uiPriority w:val="30"/>
    <w:semiHidden/>
    <w:rPr>
      <w:i/>
      <w:iCs/>
      <w:color w:val="B42C1A" w:themeColor="accent1" w:themeShade="BF"/>
    </w:rPr>
  </w:style>
  <w:style w:type="character" w:styleId="SubtleEmphasis">
    <w:name w:val="Subtle Emphasis"/>
    <w:basedOn w:val="DefaultParagraphFont"/>
    <w:uiPriority w:val="19"/>
    <w:semiHidden/>
    <w:unhideWhenUsed/>
    <w:qFormat/>
    <w:rPr>
      <w:i/>
      <w:iCs/>
      <w:color w:val="404040" w:themeColor="text1" w:themeTint="BF"/>
    </w:rPr>
  </w:style>
  <w:style w:type="character" w:styleId="CommentReference">
    <w:name w:val="annotation reference"/>
    <w:basedOn w:val="DefaultParagraphFont"/>
    <w:uiPriority w:val="99"/>
    <w:semiHidden/>
    <w:unhideWhenUsed/>
    <w:rsid w:val="00C47191"/>
    <w:rPr>
      <w:sz w:val="16"/>
      <w:szCs w:val="16"/>
    </w:rPr>
  </w:style>
  <w:style w:type="paragraph" w:styleId="CommentText">
    <w:name w:val="annotation text"/>
    <w:basedOn w:val="Normal"/>
    <w:link w:val="CommentTextChar"/>
    <w:uiPriority w:val="99"/>
    <w:semiHidden/>
    <w:unhideWhenUsed/>
    <w:rsid w:val="00C47191"/>
    <w:pPr>
      <w:spacing w:line="240" w:lineRule="auto"/>
    </w:pPr>
    <w:rPr>
      <w:sz w:val="20"/>
      <w:szCs w:val="20"/>
    </w:rPr>
  </w:style>
  <w:style w:type="character" w:customStyle="1" w:styleId="CommentTextChar">
    <w:name w:val="Comment Text Char"/>
    <w:basedOn w:val="DefaultParagraphFont"/>
    <w:link w:val="CommentText"/>
    <w:uiPriority w:val="99"/>
    <w:semiHidden/>
    <w:rsid w:val="00C47191"/>
    <w:rPr>
      <w:sz w:val="20"/>
      <w:szCs w:val="20"/>
    </w:rPr>
  </w:style>
  <w:style w:type="paragraph" w:styleId="CommentSubject">
    <w:name w:val="annotation subject"/>
    <w:basedOn w:val="CommentText"/>
    <w:next w:val="CommentText"/>
    <w:link w:val="CommentSubjectChar"/>
    <w:uiPriority w:val="99"/>
    <w:semiHidden/>
    <w:unhideWhenUsed/>
    <w:rsid w:val="00C47191"/>
    <w:rPr>
      <w:b/>
      <w:bCs/>
    </w:rPr>
  </w:style>
  <w:style w:type="character" w:customStyle="1" w:styleId="CommentSubjectChar">
    <w:name w:val="Comment Subject Char"/>
    <w:basedOn w:val="CommentTextChar"/>
    <w:link w:val="CommentSubject"/>
    <w:uiPriority w:val="99"/>
    <w:semiHidden/>
    <w:rsid w:val="00C47191"/>
    <w:rPr>
      <w:b/>
      <w:bCs/>
      <w:sz w:val="20"/>
      <w:szCs w:val="20"/>
    </w:rPr>
  </w:style>
  <w:style w:type="paragraph" w:styleId="BalloonText">
    <w:name w:val="Balloon Text"/>
    <w:basedOn w:val="Normal"/>
    <w:link w:val="BalloonTextChar"/>
    <w:uiPriority w:val="99"/>
    <w:semiHidden/>
    <w:unhideWhenUsed/>
    <w:rsid w:val="00C471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191"/>
    <w:rPr>
      <w:rFonts w:ascii="Segoe UI" w:hAnsi="Segoe UI" w:cs="Segoe UI"/>
      <w:sz w:val="18"/>
      <w:szCs w:val="18"/>
    </w:rPr>
  </w:style>
  <w:style w:type="character" w:styleId="Hyperlink">
    <w:name w:val="Hyperlink"/>
    <w:basedOn w:val="DefaultParagraphFont"/>
    <w:uiPriority w:val="99"/>
    <w:unhideWhenUsed/>
    <w:rsid w:val="00697D9D"/>
    <w:rPr>
      <w:color w:val="0563C1" w:themeColor="hyperlink"/>
      <w:u w:val="single"/>
    </w:rPr>
  </w:style>
  <w:style w:type="character" w:customStyle="1" w:styleId="UnresolvedMention1">
    <w:name w:val="Unresolved Mention1"/>
    <w:basedOn w:val="DefaultParagraphFont"/>
    <w:uiPriority w:val="99"/>
    <w:semiHidden/>
    <w:unhideWhenUsed/>
    <w:rsid w:val="00697D9D"/>
    <w:rPr>
      <w:color w:val="605E5C"/>
      <w:shd w:val="clear" w:color="auto" w:fill="E1DFDD"/>
    </w:rPr>
  </w:style>
  <w:style w:type="paragraph" w:styleId="FootnoteText">
    <w:name w:val="footnote text"/>
    <w:basedOn w:val="Normal"/>
    <w:link w:val="FootnoteTextChar"/>
    <w:uiPriority w:val="99"/>
    <w:semiHidden/>
    <w:unhideWhenUsed/>
    <w:rsid w:val="00A17D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7DE4"/>
    <w:rPr>
      <w:sz w:val="20"/>
      <w:szCs w:val="20"/>
    </w:rPr>
  </w:style>
  <w:style w:type="character" w:styleId="FootnoteReference">
    <w:name w:val="footnote reference"/>
    <w:basedOn w:val="DefaultParagraphFont"/>
    <w:uiPriority w:val="99"/>
    <w:semiHidden/>
    <w:unhideWhenUsed/>
    <w:rsid w:val="00A17DE4"/>
    <w:rPr>
      <w:vertAlign w:val="superscript"/>
    </w:rPr>
  </w:style>
  <w:style w:type="paragraph" w:styleId="Caption">
    <w:name w:val="caption"/>
    <w:basedOn w:val="Normal"/>
    <w:next w:val="Normal"/>
    <w:uiPriority w:val="35"/>
    <w:unhideWhenUsed/>
    <w:qFormat/>
    <w:rsid w:val="00675433"/>
    <w:pPr>
      <w:spacing w:after="200" w:line="240" w:lineRule="auto"/>
    </w:pPr>
    <w:rPr>
      <w:i/>
      <w:iCs/>
      <w:color w:val="333333" w:themeColor="text2"/>
      <w:sz w:val="18"/>
      <w:szCs w:val="18"/>
    </w:rPr>
  </w:style>
  <w:style w:type="paragraph" w:customStyle="1" w:styleId="xgmail-msofootnotetext">
    <w:name w:val="x_gmail-msofootnotetext"/>
    <w:basedOn w:val="Normal"/>
    <w:rsid w:val="00411001"/>
    <w:pPr>
      <w:spacing w:before="100" w:beforeAutospacing="1" w:after="100" w:afterAutospacing="1" w:line="240" w:lineRule="auto"/>
    </w:pPr>
    <w:rPr>
      <w:rFonts w:ascii="Times New Roman" w:eastAsiaTheme="minorHAnsi" w:hAnsi="Times New Roman" w:cs="Times New Roman"/>
      <w:lang w:eastAsia="en-US"/>
    </w:rPr>
  </w:style>
  <w:style w:type="character" w:styleId="UnresolvedMention">
    <w:name w:val="Unresolved Mention"/>
    <w:basedOn w:val="DefaultParagraphFont"/>
    <w:uiPriority w:val="99"/>
    <w:semiHidden/>
    <w:unhideWhenUsed/>
    <w:rsid w:val="003F0146"/>
    <w:rPr>
      <w:color w:val="605E5C"/>
      <w:shd w:val="clear" w:color="auto" w:fill="E1DFDD"/>
    </w:rPr>
  </w:style>
  <w:style w:type="character" w:styleId="FollowedHyperlink">
    <w:name w:val="FollowedHyperlink"/>
    <w:basedOn w:val="DefaultParagraphFont"/>
    <w:uiPriority w:val="99"/>
    <w:semiHidden/>
    <w:unhideWhenUsed/>
    <w:rsid w:val="003F0146"/>
    <w:rPr>
      <w:color w:val="954F72" w:themeColor="followedHyperlink"/>
      <w:u w:val="single"/>
    </w:rPr>
  </w:style>
  <w:style w:type="paragraph" w:styleId="ListParagraph">
    <w:name w:val="List Paragraph"/>
    <w:basedOn w:val="Normal"/>
    <w:uiPriority w:val="34"/>
    <w:unhideWhenUsed/>
    <w:qFormat/>
    <w:rsid w:val="009653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1904098">
      <w:bodyDiv w:val="1"/>
      <w:marLeft w:val="0"/>
      <w:marRight w:val="0"/>
      <w:marTop w:val="0"/>
      <w:marBottom w:val="0"/>
      <w:divBdr>
        <w:top w:val="none" w:sz="0" w:space="0" w:color="auto"/>
        <w:left w:val="none" w:sz="0" w:space="0" w:color="auto"/>
        <w:bottom w:val="none" w:sz="0" w:space="0" w:color="auto"/>
        <w:right w:val="none" w:sz="0" w:space="0" w:color="auto"/>
      </w:divBdr>
    </w:div>
    <w:div w:id="680354836">
      <w:bodyDiv w:val="1"/>
      <w:marLeft w:val="0"/>
      <w:marRight w:val="0"/>
      <w:marTop w:val="0"/>
      <w:marBottom w:val="0"/>
      <w:divBdr>
        <w:top w:val="none" w:sz="0" w:space="0" w:color="auto"/>
        <w:left w:val="none" w:sz="0" w:space="0" w:color="auto"/>
        <w:bottom w:val="none" w:sz="0" w:space="0" w:color="auto"/>
        <w:right w:val="none" w:sz="0" w:space="0" w:color="auto"/>
      </w:divBdr>
    </w:div>
    <w:div w:id="1442651829">
      <w:bodyDiv w:val="1"/>
      <w:marLeft w:val="0"/>
      <w:marRight w:val="0"/>
      <w:marTop w:val="0"/>
      <w:marBottom w:val="0"/>
      <w:divBdr>
        <w:top w:val="none" w:sz="0" w:space="0" w:color="auto"/>
        <w:left w:val="none" w:sz="0" w:space="0" w:color="auto"/>
        <w:bottom w:val="none" w:sz="0" w:space="0" w:color="auto"/>
        <w:right w:val="none" w:sz="0" w:space="0" w:color="auto"/>
      </w:divBdr>
    </w:div>
    <w:div w:id="206602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vmetrics.net/2020/07/02/for-avms-confidence-isnt-overrate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ppraisalRFI@fhfa.gov" TargetMode="External"/><Relationship Id="rId14" Type="http://schemas.openxmlformats.org/officeDocument/2006/relationships/header" Target="header1.xml"/><Relationship Id="rId22"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8" Type="http://schemas.openxmlformats.org/officeDocument/2006/relationships/hyperlink" Target="https://www.asc.gov/Documents/OtherCorrespondence/2019.12.06%20-%20Temporary%20Waiver%20FAQs%20.pdf" TargetMode="External"/><Relationship Id="rId3" Type="http://schemas.openxmlformats.org/officeDocument/2006/relationships/hyperlink" Target="https://urldefense.proofpoint.com/v2/url?u=https-3A__www.researchgate.net_publication_333670561-5FExposition-5Fof-5FAVM-5FPerformance-5FMetrics-5F-2D-5FSingle-5FFile&amp;d=DwMFaQ&amp;c=euGZstcaTDllvimEN8b7jXrwqOf-v5A_CdpgnVfiiMM&amp;r=VaipPyS75DhO9zVh4jWFghh8iKYx7DQNHdesG4dsycg&amp;m=k1lllzM0LyUO9efS1AN1jvd69Nbz4k_lwezDRU7M_28&amp;s=O6mEeu6J81M0l7h3uIdESsYJzItUPxFHtDzO6cwCmkU&amp;e=" TargetMode="External"/><Relationship Id="rId7" Type="http://schemas.openxmlformats.org/officeDocument/2006/relationships/hyperlink" Target="https://www.federalregister.gov/documents/2019/05/30/2019-11282/appraisal-subcommittee-notice-of-received-request-for-a-temporary-waiver" TargetMode="External"/><Relationship Id="rId2" Type="http://schemas.openxmlformats.org/officeDocument/2006/relationships/hyperlink" Target="https://www.fdic.gov/regulations/laws/rules/5000-4800.html" TargetMode="External"/><Relationship Id="rId1" Type="http://schemas.openxmlformats.org/officeDocument/2006/relationships/hyperlink" Target="https://www.aei.org/research-products/report/prevalence-of-gse-appraisal-waivers-november-2020-originations/" TargetMode="External"/><Relationship Id="rId6" Type="http://schemas.openxmlformats.org/officeDocument/2006/relationships/hyperlink" Target="https://www.federalregister.gov/documents/2020/08/13/2020-17660/appraisal-subcommittee-order-extending-commercial-real-estate-transaction-temporary-waiver-relief" TargetMode="External"/><Relationship Id="rId5" Type="http://schemas.openxmlformats.org/officeDocument/2006/relationships/hyperlink" Target="https://www.moodys.com/research/Moodys-decreases-JP-Morgan-Mortgage-Acquisition-Corps-assessment-to-Average--PR_430194" TargetMode="External"/><Relationship Id="rId10" Type="http://schemas.openxmlformats.org/officeDocument/2006/relationships/hyperlink" Target="https://capeanalytics.com/real-estate/" TargetMode="External"/><Relationship Id="rId4" Type="http://schemas.openxmlformats.org/officeDocument/2006/relationships/hyperlink" Target="https://www.avmetrics.net/2020/07/02/for-avms-confidence-isnt-overrated/" TargetMode="External"/><Relationship Id="rId9" Type="http://schemas.openxmlformats.org/officeDocument/2006/relationships/hyperlink" Target="https://www.naturequant.com/naturesco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mke\AppData\Roaming\Microsoft\Templates\Business%20letter%20(simple%20design).dotx" TargetMode="External"/></Relationships>
</file>

<file path=word/theme/theme1.xml><?xml version="1.0" encoding="utf-8"?>
<a:theme xmlns:a="http://schemas.openxmlformats.org/drawingml/2006/main" name="Office Theme">
  <a:themeElements>
    <a:clrScheme name="Custom 87">
      <a:dk1>
        <a:sysClr val="windowText" lastClr="000000"/>
      </a:dk1>
      <a:lt1>
        <a:sysClr val="window" lastClr="FFFFFF"/>
      </a:lt1>
      <a:dk2>
        <a:srgbClr val="333333"/>
      </a:dk2>
      <a:lt2>
        <a:srgbClr val="CCCCCC"/>
      </a:lt2>
      <a:accent1>
        <a:srgbClr val="E14934"/>
      </a:accent1>
      <a:accent2>
        <a:srgbClr val="F0AA59"/>
      </a:accent2>
      <a:accent3>
        <a:srgbClr val="E8DEA7"/>
      </a:accent3>
      <a:accent4>
        <a:srgbClr val="B3D192"/>
      </a:accent4>
      <a:accent5>
        <a:srgbClr val="77D1BF"/>
      </a:accent5>
      <a:accent6>
        <a:srgbClr val="67B4C7"/>
      </a:accent6>
      <a:hlink>
        <a:srgbClr val="0563C1"/>
      </a:hlink>
      <a:folHlink>
        <a:srgbClr val="954F72"/>
      </a:folHlink>
    </a:clrScheme>
    <a:fontScheme name="Custom 100">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DB78AE-FF19-4BDB-8F5F-0EA2E4AB834A}">
  <ds:schemaRefs>
    <ds:schemaRef ds:uri="http://schemas.openxmlformats.org/officeDocument/2006/bibliography"/>
  </ds:schemaRefs>
</ds:datastoreItem>
</file>

<file path=customXml/itemProps2.xml><?xml version="1.0" encoding="utf-8"?>
<ds:datastoreItem xmlns:ds="http://schemas.openxmlformats.org/officeDocument/2006/customXml" ds:itemID="{DDF8A9A7-2773-4655-9A89-6005C0E33BEE}"/>
</file>

<file path=customXml/itemProps3.xml><?xml version="1.0" encoding="utf-8"?>
<ds:datastoreItem xmlns:ds="http://schemas.openxmlformats.org/officeDocument/2006/customXml" ds:itemID="{1240C3AD-0D5C-428E-B7F1-674DBB9C0C3E}"/>
</file>

<file path=customXml/itemProps4.xml><?xml version="1.0" encoding="utf-8"?>
<ds:datastoreItem xmlns:ds="http://schemas.openxmlformats.org/officeDocument/2006/customXml" ds:itemID="{381F4543-F7F6-4DE3-B911-B13D955A3209}"/>
</file>

<file path=docProps/app.xml><?xml version="1.0" encoding="utf-8"?>
<Properties xmlns="http://schemas.openxmlformats.org/officeDocument/2006/extended-properties" xmlns:vt="http://schemas.openxmlformats.org/officeDocument/2006/docPropsVTypes">
  <Template>Business letter (simple design)</Template>
  <TotalTime>4</TotalTime>
  <Pages>12</Pages>
  <Words>3168</Words>
  <Characters>18064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Kee</dc:creator>
  <cp:keywords/>
  <dc:description/>
  <cp:lastModifiedBy>lee kennedy</cp:lastModifiedBy>
  <cp:revision>2</cp:revision>
  <dcterms:created xsi:type="dcterms:W3CDTF">2021-02-26T19:29:00Z</dcterms:created>
  <dcterms:modified xsi:type="dcterms:W3CDTF">2021-02-26T19:29:00Z</dcterms:modified>
</cp:coreProperties>
</file>