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739A" w14:textId="47DEC8F1" w:rsidR="001F4817" w:rsidRPr="0080472A" w:rsidRDefault="001F4817">
      <w:pPr>
        <w:rPr>
          <w:b/>
          <w:bCs/>
          <w:sz w:val="28"/>
          <w:szCs w:val="28"/>
        </w:rPr>
      </w:pPr>
      <w:r w:rsidRPr="0080472A">
        <w:rPr>
          <w:b/>
          <w:bCs/>
          <w:sz w:val="28"/>
          <w:szCs w:val="28"/>
        </w:rPr>
        <w:t>Request For Input: Federal Home Loan Bank Affordable Housing Program Competitive Application Process</w:t>
      </w:r>
    </w:p>
    <w:tbl>
      <w:tblPr>
        <w:tblpPr w:leftFromText="45" w:rightFromText="45" w:vertAnchor="text"/>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6"/>
        <w:gridCol w:w="8075"/>
      </w:tblGrid>
      <w:tr w:rsidR="001F4817" w14:paraId="4A032AEC" w14:textId="77777777" w:rsidTr="001F4817">
        <w:tc>
          <w:tcPr>
            <w:tcW w:w="0" w:type="auto"/>
            <w:tcBorders>
              <w:top w:val="outset" w:sz="6" w:space="0" w:color="auto"/>
              <w:left w:val="outset" w:sz="6" w:space="0" w:color="auto"/>
              <w:bottom w:val="outset" w:sz="6" w:space="0" w:color="auto"/>
              <w:right w:val="outset" w:sz="6" w:space="0" w:color="auto"/>
            </w:tcBorders>
            <w:shd w:val="clear" w:color="auto" w:fill="18244F"/>
            <w:noWrap/>
            <w:tcMar>
              <w:top w:w="30" w:type="dxa"/>
              <w:left w:w="30" w:type="dxa"/>
              <w:bottom w:w="30" w:type="dxa"/>
              <w:right w:w="30" w:type="dxa"/>
            </w:tcMar>
            <w:vAlign w:val="center"/>
            <w:hideMark/>
          </w:tcPr>
          <w:p w14:paraId="1D921612" w14:textId="77777777" w:rsidR="001F4817" w:rsidRDefault="001F4817" w:rsidP="0037511F">
            <w:pPr>
              <w:spacing w:line="360" w:lineRule="auto"/>
              <w:rPr>
                <w:rFonts w:ascii="Verdana" w:hAnsi="Verdana"/>
                <w:sz w:val="21"/>
                <w:szCs w:val="21"/>
              </w:rPr>
            </w:pPr>
            <w:r>
              <w:rPr>
                <w:rFonts w:ascii="Verdana" w:hAnsi="Verdana"/>
                <w:b/>
                <w:bCs/>
                <w:color w:val="FFFFFF"/>
                <w:sz w:val="21"/>
                <w:szCs w:val="21"/>
              </w:rPr>
              <w:t>Question 1</w:t>
            </w:r>
          </w:p>
        </w:tc>
        <w:tc>
          <w:tcPr>
            <w:tcW w:w="807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86564C5" w14:textId="77777777" w:rsidR="001F4817" w:rsidRDefault="001F4817" w:rsidP="0037511F">
            <w:pPr>
              <w:spacing w:line="360" w:lineRule="auto"/>
              <w:rPr>
                <w:rFonts w:ascii="Verdana" w:hAnsi="Verdana"/>
                <w:sz w:val="21"/>
                <w:szCs w:val="21"/>
              </w:rPr>
            </w:pPr>
            <w:r>
              <w:rPr>
                <w:rFonts w:ascii="Verdana" w:hAnsi="Verdana"/>
                <w:sz w:val="21"/>
                <w:szCs w:val="21"/>
              </w:rPr>
              <w:t xml:space="preserve">Are there particular components of the FHLBanks’ AHP application processes that could be made more effective or efficient, and if so, how? Are any of the FHLBanks’ specific documentation requirements for AHP applications unnecessary for verifying that the applicant meets the AHP eligibility requirements and scoring criteria? Are there ways to streamline the application process while maintaining the FHLBanks’ ability to verify applicants’ compliance with the AHP eligibility requirements and scoring criteria? </w:t>
            </w:r>
          </w:p>
          <w:p w14:paraId="34D77DD5" w14:textId="77777777" w:rsidR="001F4817" w:rsidRDefault="001F4817" w:rsidP="0037511F">
            <w:pPr>
              <w:spacing w:line="360" w:lineRule="auto"/>
              <w:rPr>
                <w:rFonts w:ascii="Verdana" w:hAnsi="Verdana"/>
                <w:sz w:val="21"/>
                <w:szCs w:val="21"/>
              </w:rPr>
            </w:pPr>
            <w:r w:rsidRPr="006466D0">
              <w:rPr>
                <w:rFonts w:ascii="Verdana" w:hAnsi="Verdana"/>
                <w:b/>
                <w:bCs/>
                <w:color w:val="4472C4" w:themeColor="accent1"/>
                <w:sz w:val="21"/>
                <w:szCs w:val="21"/>
              </w:rPr>
              <w:t>Recommend pre-populating developer information for repeat applicants already in the</w:t>
            </w:r>
            <w:r w:rsidRPr="006466D0">
              <w:rPr>
                <w:rFonts w:ascii="Verdana" w:hAnsi="Verdana"/>
                <w:color w:val="4472C4" w:themeColor="accent1"/>
                <w:sz w:val="21"/>
                <w:szCs w:val="21"/>
              </w:rPr>
              <w:t xml:space="preserve"> </w:t>
            </w:r>
            <w:r w:rsidRPr="006466D0">
              <w:rPr>
                <w:rFonts w:ascii="Verdana" w:hAnsi="Verdana"/>
                <w:b/>
                <w:bCs/>
                <w:color w:val="4472C4" w:themeColor="accent1"/>
                <w:sz w:val="21"/>
                <w:szCs w:val="21"/>
              </w:rPr>
              <w:t>system or use drop downs to eliminate manual entries of data.</w:t>
            </w:r>
            <w:r w:rsidRPr="006466D0">
              <w:rPr>
                <w:rFonts w:ascii="Verdana" w:hAnsi="Verdana"/>
                <w:color w:val="4472C4" w:themeColor="accent1"/>
                <w:sz w:val="21"/>
                <w:szCs w:val="21"/>
              </w:rPr>
              <w:t xml:space="preserve"> </w:t>
            </w:r>
          </w:p>
        </w:tc>
      </w:tr>
      <w:tr w:rsidR="001F4817" w14:paraId="53E36E20" w14:textId="77777777" w:rsidTr="001F4817">
        <w:tc>
          <w:tcPr>
            <w:tcW w:w="0" w:type="auto"/>
            <w:tcBorders>
              <w:top w:val="outset" w:sz="6" w:space="0" w:color="auto"/>
              <w:left w:val="outset" w:sz="6" w:space="0" w:color="auto"/>
              <w:bottom w:val="outset" w:sz="6" w:space="0" w:color="auto"/>
              <w:right w:val="outset" w:sz="6" w:space="0" w:color="auto"/>
            </w:tcBorders>
            <w:shd w:val="clear" w:color="auto" w:fill="18244F"/>
            <w:noWrap/>
            <w:tcMar>
              <w:top w:w="30" w:type="dxa"/>
              <w:left w:w="30" w:type="dxa"/>
              <w:bottom w:w="30" w:type="dxa"/>
              <w:right w:w="30" w:type="dxa"/>
            </w:tcMar>
            <w:vAlign w:val="center"/>
            <w:hideMark/>
          </w:tcPr>
          <w:p w14:paraId="769271B4" w14:textId="77777777" w:rsidR="001F4817" w:rsidRDefault="001F4817" w:rsidP="0037511F">
            <w:pPr>
              <w:spacing w:line="360" w:lineRule="auto"/>
              <w:rPr>
                <w:rFonts w:ascii="Verdana" w:hAnsi="Verdana"/>
                <w:sz w:val="21"/>
                <w:szCs w:val="21"/>
              </w:rPr>
            </w:pPr>
            <w:r>
              <w:rPr>
                <w:rFonts w:ascii="Verdana" w:hAnsi="Verdana"/>
                <w:b/>
                <w:bCs/>
                <w:color w:val="FFFFFF"/>
                <w:sz w:val="21"/>
                <w:szCs w:val="21"/>
              </w:rPr>
              <w:t>Question 2 </w:t>
            </w:r>
          </w:p>
        </w:tc>
        <w:tc>
          <w:tcPr>
            <w:tcW w:w="807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B20FBA7" w14:textId="77777777" w:rsidR="001F4817" w:rsidRDefault="001F4817" w:rsidP="0037511F">
            <w:pPr>
              <w:spacing w:line="360" w:lineRule="auto"/>
              <w:rPr>
                <w:rFonts w:ascii="Verdana" w:hAnsi="Verdana"/>
                <w:sz w:val="21"/>
                <w:szCs w:val="21"/>
              </w:rPr>
            </w:pPr>
            <w:r>
              <w:rPr>
                <w:rFonts w:ascii="Verdana" w:hAnsi="Verdana"/>
                <w:sz w:val="21"/>
                <w:szCs w:val="21"/>
              </w:rPr>
              <w:t>How do the FHLBanks’ AHP application processes compare to those of other providers of gap funding with respect to scope, complexity, and documentation requirements?</w:t>
            </w:r>
          </w:p>
          <w:p w14:paraId="6B6319D8" w14:textId="77777777" w:rsidR="001F4817" w:rsidRDefault="001F4817" w:rsidP="0037511F">
            <w:pPr>
              <w:spacing w:line="360" w:lineRule="auto"/>
              <w:rPr>
                <w:rFonts w:ascii="Verdana" w:hAnsi="Verdana"/>
                <w:sz w:val="21"/>
                <w:szCs w:val="21"/>
              </w:rPr>
            </w:pPr>
            <w:r w:rsidRPr="006466D0">
              <w:rPr>
                <w:rFonts w:ascii="Verdana" w:hAnsi="Verdana"/>
                <w:b/>
                <w:bCs/>
                <w:color w:val="4472C4" w:themeColor="accent1"/>
                <w:sz w:val="21"/>
                <w:szCs w:val="21"/>
              </w:rPr>
              <w:t xml:space="preserve">Processes are </w:t>
            </w:r>
            <w:proofErr w:type="gramStart"/>
            <w:r w:rsidRPr="006466D0">
              <w:rPr>
                <w:rFonts w:ascii="Verdana" w:hAnsi="Verdana"/>
                <w:b/>
                <w:bCs/>
                <w:color w:val="4472C4" w:themeColor="accent1"/>
                <w:sz w:val="21"/>
                <w:szCs w:val="21"/>
              </w:rPr>
              <w:t>similar to</w:t>
            </w:r>
            <w:proofErr w:type="gramEnd"/>
            <w:r w:rsidRPr="006466D0">
              <w:rPr>
                <w:rFonts w:ascii="Verdana" w:hAnsi="Verdana"/>
                <w:b/>
                <w:bCs/>
                <w:color w:val="4472C4" w:themeColor="accent1"/>
                <w:sz w:val="21"/>
                <w:szCs w:val="21"/>
              </w:rPr>
              <w:t xml:space="preserve"> other providers</w:t>
            </w:r>
            <w:r>
              <w:rPr>
                <w:rFonts w:ascii="Verdana" w:hAnsi="Verdana"/>
                <w:b/>
                <w:bCs/>
                <w:color w:val="4472C4" w:themeColor="accent1"/>
                <w:sz w:val="21"/>
                <w:szCs w:val="21"/>
              </w:rPr>
              <w:t>.</w:t>
            </w:r>
            <w:r w:rsidRPr="006466D0">
              <w:rPr>
                <w:rFonts w:ascii="Verdana" w:hAnsi="Verdana"/>
                <w:color w:val="4472C4" w:themeColor="accent1"/>
                <w:sz w:val="21"/>
                <w:szCs w:val="21"/>
              </w:rPr>
              <w:t xml:space="preserve">  </w:t>
            </w:r>
          </w:p>
        </w:tc>
      </w:tr>
      <w:tr w:rsidR="001F4817" w14:paraId="24DE0105" w14:textId="77777777" w:rsidTr="001F4817">
        <w:tc>
          <w:tcPr>
            <w:tcW w:w="0" w:type="auto"/>
            <w:tcBorders>
              <w:top w:val="outset" w:sz="6" w:space="0" w:color="auto"/>
              <w:left w:val="outset" w:sz="6" w:space="0" w:color="auto"/>
              <w:bottom w:val="outset" w:sz="6" w:space="0" w:color="auto"/>
              <w:right w:val="outset" w:sz="6" w:space="0" w:color="auto"/>
            </w:tcBorders>
            <w:shd w:val="clear" w:color="auto" w:fill="18244F"/>
            <w:noWrap/>
            <w:tcMar>
              <w:top w:w="30" w:type="dxa"/>
              <w:left w:w="30" w:type="dxa"/>
              <w:bottom w:w="30" w:type="dxa"/>
              <w:right w:w="30" w:type="dxa"/>
            </w:tcMar>
            <w:vAlign w:val="center"/>
            <w:hideMark/>
          </w:tcPr>
          <w:p w14:paraId="5704A8CD" w14:textId="77777777" w:rsidR="001F4817" w:rsidRDefault="001F4817" w:rsidP="0037511F">
            <w:pPr>
              <w:spacing w:line="360" w:lineRule="auto"/>
              <w:rPr>
                <w:rFonts w:ascii="Verdana" w:hAnsi="Verdana"/>
                <w:sz w:val="21"/>
                <w:szCs w:val="21"/>
              </w:rPr>
            </w:pPr>
            <w:r>
              <w:rPr>
                <w:rFonts w:ascii="Verdana" w:hAnsi="Verdana"/>
                <w:sz w:val="21"/>
                <w:szCs w:val="21"/>
              </w:rPr>
              <w:t>   </w:t>
            </w:r>
            <w:r>
              <w:rPr>
                <w:rFonts w:ascii="Verdana" w:hAnsi="Verdana"/>
                <w:b/>
                <w:bCs/>
                <w:color w:val="FFFFFF"/>
                <w:sz w:val="21"/>
                <w:szCs w:val="21"/>
              </w:rPr>
              <w:t>Question 3</w:t>
            </w:r>
          </w:p>
        </w:tc>
        <w:tc>
          <w:tcPr>
            <w:tcW w:w="807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8CC9EE1" w14:textId="77777777" w:rsidR="001F4817" w:rsidRDefault="001F4817" w:rsidP="0037511F">
            <w:pPr>
              <w:spacing w:line="360" w:lineRule="auto"/>
              <w:rPr>
                <w:rFonts w:ascii="Verdana" w:hAnsi="Verdana"/>
                <w:sz w:val="21"/>
                <w:szCs w:val="21"/>
              </w:rPr>
            </w:pPr>
            <w:r>
              <w:rPr>
                <w:rFonts w:ascii="Verdana" w:hAnsi="Verdana"/>
                <w:sz w:val="21"/>
                <w:szCs w:val="21"/>
              </w:rPr>
              <w:t>Do the FHLBanks’ AHP application processes leverage other funders’ applications/requirements? Are the AHP application processes duplicative or complementary of other funders’ underwriting requirements and processes? Do the AHP application processes create the need for additional information and documentation?</w:t>
            </w:r>
          </w:p>
          <w:p w14:paraId="0CF818D9" w14:textId="77777777" w:rsidR="001F4817" w:rsidRPr="00E52D45" w:rsidRDefault="001F4817" w:rsidP="0037511F">
            <w:pPr>
              <w:spacing w:line="360" w:lineRule="auto"/>
              <w:rPr>
                <w:rFonts w:ascii="Verdana" w:hAnsi="Verdana"/>
                <w:b/>
                <w:bCs/>
                <w:sz w:val="21"/>
                <w:szCs w:val="21"/>
              </w:rPr>
            </w:pPr>
            <w:r w:rsidRPr="006466D0">
              <w:rPr>
                <w:rFonts w:ascii="Verdana" w:hAnsi="Verdana"/>
                <w:b/>
                <w:bCs/>
                <w:color w:val="4472C4" w:themeColor="accent1"/>
                <w:sz w:val="21"/>
                <w:szCs w:val="21"/>
              </w:rPr>
              <w:t xml:space="preserve">AHP application processes do not create the need for additional information and documentation. Requiring site control is the only requirement that could present issues. However, given the demand for funding we understand the interest in using funds for shovel-ready projects as to have the greatest impact. </w:t>
            </w:r>
          </w:p>
        </w:tc>
      </w:tr>
    </w:tbl>
    <w:p w14:paraId="3485140E" w14:textId="10B0E96D" w:rsidR="001F4817" w:rsidRDefault="001F4817">
      <w:r>
        <w:br w:type="page"/>
      </w:r>
    </w:p>
    <w:p w14:paraId="6DF7BD5B" w14:textId="77777777" w:rsidR="001F4817" w:rsidRDefault="001F4817"/>
    <w:tbl>
      <w:tblPr>
        <w:tblpPr w:leftFromText="45" w:rightFromText="45" w:vertAnchor="text"/>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6"/>
        <w:gridCol w:w="8075"/>
      </w:tblGrid>
      <w:tr w:rsidR="001F4817" w14:paraId="64B0E37A" w14:textId="77777777" w:rsidTr="001F4817">
        <w:tc>
          <w:tcPr>
            <w:tcW w:w="0" w:type="auto"/>
            <w:tcBorders>
              <w:top w:val="outset" w:sz="6" w:space="0" w:color="auto"/>
              <w:left w:val="outset" w:sz="6" w:space="0" w:color="auto"/>
              <w:bottom w:val="outset" w:sz="6" w:space="0" w:color="auto"/>
              <w:right w:val="outset" w:sz="6" w:space="0" w:color="auto"/>
            </w:tcBorders>
            <w:shd w:val="clear" w:color="auto" w:fill="18244F"/>
            <w:noWrap/>
            <w:tcMar>
              <w:top w:w="30" w:type="dxa"/>
              <w:left w:w="30" w:type="dxa"/>
              <w:bottom w:w="30" w:type="dxa"/>
              <w:right w:w="30" w:type="dxa"/>
            </w:tcMar>
            <w:vAlign w:val="center"/>
            <w:hideMark/>
          </w:tcPr>
          <w:p w14:paraId="73D9DB87" w14:textId="77777777" w:rsidR="001F4817" w:rsidRDefault="001F4817" w:rsidP="0037511F">
            <w:pPr>
              <w:spacing w:line="360" w:lineRule="auto"/>
              <w:rPr>
                <w:rFonts w:ascii="Verdana" w:hAnsi="Verdana"/>
                <w:sz w:val="21"/>
                <w:szCs w:val="21"/>
              </w:rPr>
            </w:pPr>
            <w:r>
              <w:rPr>
                <w:rFonts w:ascii="Verdana" w:hAnsi="Verdana"/>
                <w:sz w:val="21"/>
                <w:szCs w:val="21"/>
              </w:rPr>
              <w:t> </w:t>
            </w:r>
            <w:r>
              <w:rPr>
                <w:rFonts w:ascii="Verdana" w:hAnsi="Verdana"/>
                <w:b/>
                <w:bCs/>
                <w:color w:val="FFFFFF"/>
                <w:sz w:val="21"/>
                <w:szCs w:val="21"/>
              </w:rPr>
              <w:t>Question 4</w:t>
            </w:r>
          </w:p>
        </w:tc>
        <w:tc>
          <w:tcPr>
            <w:tcW w:w="807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07C7CB86" w14:textId="77777777" w:rsidR="001F4817" w:rsidRDefault="001F4817" w:rsidP="0037511F">
            <w:pPr>
              <w:spacing w:line="360" w:lineRule="auto"/>
              <w:rPr>
                <w:rFonts w:ascii="Verdana" w:hAnsi="Verdana"/>
                <w:sz w:val="21"/>
                <w:szCs w:val="21"/>
              </w:rPr>
            </w:pPr>
            <w:r>
              <w:rPr>
                <w:rFonts w:ascii="Verdana" w:hAnsi="Verdana"/>
                <w:sz w:val="21"/>
                <w:szCs w:val="21"/>
              </w:rPr>
              <w:t xml:space="preserve">Should the AHP regulation allow the FHLBanks to differentiate their AHP application requirements for projects requesting subsidy that constitutes a small percentage of the total funding in the project? If yes, why? Do other gap funders differentiate their application requirements for smaller projects? </w:t>
            </w:r>
          </w:p>
          <w:p w14:paraId="16D7825D" w14:textId="77777777" w:rsidR="001F4817" w:rsidRPr="00E52D45" w:rsidRDefault="001F4817" w:rsidP="0037511F">
            <w:pPr>
              <w:spacing w:line="360" w:lineRule="auto"/>
              <w:rPr>
                <w:rFonts w:ascii="Verdana" w:hAnsi="Verdana"/>
                <w:b/>
                <w:bCs/>
                <w:sz w:val="21"/>
                <w:szCs w:val="21"/>
              </w:rPr>
            </w:pPr>
            <w:r w:rsidRPr="006466D0">
              <w:rPr>
                <w:rFonts w:ascii="Verdana" w:hAnsi="Verdana"/>
                <w:b/>
                <w:bCs/>
                <w:color w:val="4472C4" w:themeColor="accent1"/>
                <w:sz w:val="21"/>
                <w:szCs w:val="21"/>
              </w:rPr>
              <w:t xml:space="preserve">Yes – AHP has been such an important tool to fill funding gaps. As it is difficult to align various funding sources, the loss of even if a small percentage of funding would be tough on a developer if alternate funds are not found.  </w:t>
            </w:r>
          </w:p>
        </w:tc>
      </w:tr>
      <w:tr w:rsidR="001F4817" w14:paraId="35C4BB06" w14:textId="77777777" w:rsidTr="001F4817">
        <w:tc>
          <w:tcPr>
            <w:tcW w:w="0" w:type="auto"/>
            <w:tcBorders>
              <w:top w:val="outset" w:sz="6" w:space="0" w:color="auto"/>
              <w:left w:val="outset" w:sz="6" w:space="0" w:color="auto"/>
              <w:bottom w:val="outset" w:sz="6" w:space="0" w:color="auto"/>
              <w:right w:val="outset" w:sz="6" w:space="0" w:color="auto"/>
            </w:tcBorders>
            <w:shd w:val="clear" w:color="auto" w:fill="18244F"/>
            <w:noWrap/>
            <w:tcMar>
              <w:top w:w="30" w:type="dxa"/>
              <w:left w:w="30" w:type="dxa"/>
              <w:bottom w:w="30" w:type="dxa"/>
              <w:right w:w="30" w:type="dxa"/>
            </w:tcMar>
            <w:vAlign w:val="center"/>
            <w:hideMark/>
          </w:tcPr>
          <w:p w14:paraId="7113BA46" w14:textId="77777777" w:rsidR="001F4817" w:rsidRDefault="001F4817" w:rsidP="0037511F">
            <w:pPr>
              <w:spacing w:line="360" w:lineRule="auto"/>
              <w:rPr>
                <w:rFonts w:ascii="Verdana" w:hAnsi="Verdana"/>
                <w:sz w:val="21"/>
                <w:szCs w:val="21"/>
              </w:rPr>
            </w:pPr>
            <w:r>
              <w:rPr>
                <w:rFonts w:ascii="Verdana" w:hAnsi="Verdana"/>
                <w:sz w:val="21"/>
                <w:szCs w:val="21"/>
              </w:rPr>
              <w:t> </w:t>
            </w:r>
            <w:r>
              <w:rPr>
                <w:rFonts w:ascii="Verdana" w:hAnsi="Verdana"/>
                <w:b/>
                <w:bCs/>
                <w:color w:val="FFFFFF"/>
                <w:sz w:val="21"/>
                <w:szCs w:val="21"/>
              </w:rPr>
              <w:t>Question 5</w:t>
            </w:r>
          </w:p>
        </w:tc>
        <w:tc>
          <w:tcPr>
            <w:tcW w:w="807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1CDE1268" w14:textId="77777777" w:rsidR="001F4817" w:rsidRDefault="001F4817" w:rsidP="0037511F">
            <w:pPr>
              <w:spacing w:line="360" w:lineRule="auto"/>
              <w:rPr>
                <w:rFonts w:ascii="Verdana" w:hAnsi="Verdana"/>
                <w:sz w:val="21"/>
                <w:szCs w:val="21"/>
              </w:rPr>
            </w:pPr>
            <w:r>
              <w:rPr>
                <w:rFonts w:ascii="Verdana" w:hAnsi="Verdana"/>
                <w:sz w:val="21"/>
                <w:szCs w:val="21"/>
              </w:rPr>
              <w:t xml:space="preserve">What role do consultants provide in applying for AHP funds? What are the reasons that an AHP applicant may use a consultant? To the extent that applicants are using the services of consultants to apply for AHP subsidy, how does the practice compare to the use of consultants for other sources of gap funding? </w:t>
            </w:r>
          </w:p>
          <w:p w14:paraId="0E74E6BE" w14:textId="77777777" w:rsidR="001F4817" w:rsidRPr="00E90BB5" w:rsidRDefault="001F4817" w:rsidP="0037511F">
            <w:pPr>
              <w:spacing w:line="360" w:lineRule="auto"/>
              <w:rPr>
                <w:rFonts w:ascii="Verdana" w:hAnsi="Verdana"/>
                <w:color w:val="2F5496" w:themeColor="accent1" w:themeShade="BF"/>
                <w:sz w:val="21"/>
                <w:szCs w:val="21"/>
              </w:rPr>
            </w:pPr>
            <w:r w:rsidRPr="006466D0">
              <w:rPr>
                <w:rFonts w:ascii="Verdana" w:hAnsi="Verdana"/>
                <w:b/>
                <w:bCs/>
                <w:color w:val="4472C4" w:themeColor="accent1"/>
                <w:sz w:val="21"/>
                <w:szCs w:val="21"/>
              </w:rPr>
              <w:t>Consultants are commonly used in Low Income Housing Tax Credit developments, particularly by firms that have small or no development teams.  Consultants usually see the project through the pre-development -to- stabilization phases and assist in the application of all sources of hard debt and gap financing</w:t>
            </w:r>
            <w:r w:rsidRPr="006466D0">
              <w:rPr>
                <w:rFonts w:ascii="Verdana" w:hAnsi="Verdana"/>
                <w:color w:val="4472C4" w:themeColor="accent1"/>
                <w:sz w:val="21"/>
                <w:szCs w:val="21"/>
              </w:rPr>
              <w:t>.</w:t>
            </w:r>
          </w:p>
        </w:tc>
      </w:tr>
      <w:tr w:rsidR="001F4817" w14:paraId="6B5FF4DA" w14:textId="77777777" w:rsidTr="001F4817">
        <w:tc>
          <w:tcPr>
            <w:tcW w:w="0" w:type="auto"/>
            <w:tcBorders>
              <w:top w:val="outset" w:sz="6" w:space="0" w:color="auto"/>
              <w:left w:val="outset" w:sz="6" w:space="0" w:color="auto"/>
              <w:bottom w:val="outset" w:sz="6" w:space="0" w:color="auto"/>
              <w:right w:val="outset" w:sz="6" w:space="0" w:color="auto"/>
            </w:tcBorders>
            <w:shd w:val="clear" w:color="auto" w:fill="18244F"/>
            <w:noWrap/>
            <w:tcMar>
              <w:top w:w="30" w:type="dxa"/>
              <w:left w:w="30" w:type="dxa"/>
              <w:bottom w:w="30" w:type="dxa"/>
              <w:right w:w="30" w:type="dxa"/>
            </w:tcMar>
            <w:vAlign w:val="center"/>
            <w:hideMark/>
          </w:tcPr>
          <w:p w14:paraId="5747B144" w14:textId="77777777" w:rsidR="001F4817" w:rsidRDefault="001F4817" w:rsidP="0037511F">
            <w:pPr>
              <w:spacing w:line="360" w:lineRule="auto"/>
              <w:rPr>
                <w:rFonts w:ascii="Verdana" w:hAnsi="Verdana"/>
                <w:sz w:val="21"/>
                <w:szCs w:val="21"/>
              </w:rPr>
            </w:pPr>
            <w:r>
              <w:rPr>
                <w:rFonts w:ascii="Verdana" w:hAnsi="Verdana"/>
                <w:b/>
                <w:bCs/>
                <w:color w:val="FFFFFF"/>
                <w:sz w:val="21"/>
                <w:szCs w:val="21"/>
              </w:rPr>
              <w:t>Question 6</w:t>
            </w:r>
          </w:p>
        </w:tc>
        <w:tc>
          <w:tcPr>
            <w:tcW w:w="807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468609B" w14:textId="77777777" w:rsidR="001F4817" w:rsidRDefault="001F4817" w:rsidP="0037511F">
            <w:pPr>
              <w:spacing w:line="360" w:lineRule="auto"/>
              <w:rPr>
                <w:rFonts w:ascii="Verdana" w:hAnsi="Verdana"/>
                <w:sz w:val="21"/>
                <w:szCs w:val="21"/>
              </w:rPr>
            </w:pPr>
            <w:r>
              <w:rPr>
                <w:rFonts w:ascii="Verdana" w:hAnsi="Verdana"/>
                <w:sz w:val="21"/>
                <w:szCs w:val="21"/>
              </w:rPr>
              <w:t xml:space="preserve">Are there effective practices the FHLBanks could implement to coordinate the underwriting review process across multiple funding sources in a project? </w:t>
            </w:r>
          </w:p>
          <w:p w14:paraId="634F1185" w14:textId="77777777" w:rsidR="001F4817" w:rsidRPr="00E52D45" w:rsidRDefault="001F4817" w:rsidP="0037511F">
            <w:pPr>
              <w:spacing w:line="360" w:lineRule="auto"/>
              <w:rPr>
                <w:rFonts w:ascii="Verdana" w:hAnsi="Verdana"/>
                <w:b/>
                <w:bCs/>
                <w:sz w:val="21"/>
                <w:szCs w:val="21"/>
              </w:rPr>
            </w:pPr>
            <w:r w:rsidRPr="00F13E5F">
              <w:rPr>
                <w:rFonts w:ascii="Verdana" w:hAnsi="Verdana"/>
                <w:b/>
                <w:bCs/>
                <w:color w:val="4472C4" w:themeColor="accent1"/>
                <w:sz w:val="21"/>
                <w:szCs w:val="21"/>
              </w:rPr>
              <w:t xml:space="preserve">Possibly. For example, if the bank is the lender, some items could be waived if bank has provided approval as the member sponsor of the application. Our team noticed that the points awarded for utilizing the lender/member sponsor changed this year. Since the bank must assure long term compliance, they have a vested interest in assuring the deal is monitored. </w:t>
            </w:r>
          </w:p>
        </w:tc>
      </w:tr>
      <w:tr w:rsidR="001F4817" w14:paraId="4960C450" w14:textId="77777777" w:rsidTr="001F4817">
        <w:tc>
          <w:tcPr>
            <w:tcW w:w="0" w:type="auto"/>
            <w:tcBorders>
              <w:top w:val="outset" w:sz="6" w:space="0" w:color="auto"/>
              <w:left w:val="outset" w:sz="6" w:space="0" w:color="auto"/>
              <w:bottom w:val="outset" w:sz="6" w:space="0" w:color="auto"/>
              <w:right w:val="outset" w:sz="6" w:space="0" w:color="auto"/>
            </w:tcBorders>
            <w:shd w:val="clear" w:color="auto" w:fill="18244F"/>
            <w:noWrap/>
            <w:tcMar>
              <w:top w:w="30" w:type="dxa"/>
              <w:left w:w="30" w:type="dxa"/>
              <w:bottom w:w="30" w:type="dxa"/>
              <w:right w:w="30" w:type="dxa"/>
            </w:tcMar>
            <w:vAlign w:val="center"/>
            <w:hideMark/>
          </w:tcPr>
          <w:p w14:paraId="5B4151B8" w14:textId="77777777" w:rsidR="001F4817" w:rsidRDefault="001F4817" w:rsidP="0037511F">
            <w:pPr>
              <w:spacing w:line="360" w:lineRule="auto"/>
              <w:rPr>
                <w:rFonts w:ascii="Verdana" w:hAnsi="Verdana"/>
                <w:sz w:val="21"/>
                <w:szCs w:val="21"/>
              </w:rPr>
            </w:pPr>
            <w:r>
              <w:rPr>
                <w:rFonts w:ascii="Verdana" w:hAnsi="Verdana"/>
                <w:sz w:val="21"/>
                <w:szCs w:val="21"/>
              </w:rPr>
              <w:lastRenderedPageBreak/>
              <w:t> </w:t>
            </w:r>
            <w:r>
              <w:rPr>
                <w:rFonts w:ascii="Verdana" w:hAnsi="Verdana"/>
                <w:b/>
                <w:bCs/>
                <w:color w:val="FFFFFF"/>
                <w:sz w:val="21"/>
                <w:szCs w:val="21"/>
              </w:rPr>
              <w:t>Question 7</w:t>
            </w:r>
          </w:p>
        </w:tc>
        <w:tc>
          <w:tcPr>
            <w:tcW w:w="807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73E8E9DD" w14:textId="77777777" w:rsidR="001F4817" w:rsidRDefault="001F4817" w:rsidP="0037511F">
            <w:pPr>
              <w:spacing w:line="360" w:lineRule="auto"/>
              <w:rPr>
                <w:rFonts w:ascii="Verdana" w:hAnsi="Verdana"/>
                <w:sz w:val="21"/>
                <w:szCs w:val="21"/>
              </w:rPr>
            </w:pPr>
            <w:r>
              <w:rPr>
                <w:rFonts w:ascii="Verdana" w:hAnsi="Verdana"/>
                <w:sz w:val="21"/>
                <w:szCs w:val="21"/>
              </w:rPr>
              <w:t xml:space="preserve">What is the single most important change you would recommend for improving the AHP application process?  </w:t>
            </w:r>
            <w:r w:rsidRPr="00E52D45">
              <w:rPr>
                <w:rFonts w:ascii="Verdana" w:hAnsi="Verdana"/>
                <w:b/>
                <w:bCs/>
                <w:color w:val="4472C4" w:themeColor="accent1"/>
                <w:sz w:val="21"/>
                <w:szCs w:val="21"/>
              </w:rPr>
              <w:t>Recommend awarding equal points for competitiveness for single-family projects for homeownership.</w:t>
            </w:r>
            <w:r w:rsidRPr="00E52D45">
              <w:rPr>
                <w:rFonts w:ascii="Verdana" w:hAnsi="Verdana"/>
                <w:color w:val="4472C4" w:themeColor="accent1"/>
                <w:sz w:val="21"/>
                <w:szCs w:val="21"/>
              </w:rPr>
              <w:t xml:space="preserve">  </w:t>
            </w:r>
          </w:p>
        </w:tc>
      </w:tr>
      <w:tr w:rsidR="001F4817" w14:paraId="2C9D144A" w14:textId="77777777" w:rsidTr="001F4817">
        <w:tc>
          <w:tcPr>
            <w:tcW w:w="0" w:type="auto"/>
            <w:tcBorders>
              <w:top w:val="outset" w:sz="6" w:space="0" w:color="auto"/>
              <w:left w:val="outset" w:sz="6" w:space="0" w:color="auto"/>
              <w:bottom w:val="outset" w:sz="6" w:space="0" w:color="auto"/>
              <w:right w:val="outset" w:sz="6" w:space="0" w:color="auto"/>
            </w:tcBorders>
            <w:shd w:val="clear" w:color="auto" w:fill="18244F"/>
            <w:noWrap/>
            <w:tcMar>
              <w:top w:w="30" w:type="dxa"/>
              <w:left w:w="30" w:type="dxa"/>
              <w:bottom w:w="30" w:type="dxa"/>
              <w:right w:w="30" w:type="dxa"/>
            </w:tcMar>
            <w:vAlign w:val="center"/>
            <w:hideMark/>
          </w:tcPr>
          <w:p w14:paraId="205802D0" w14:textId="77777777" w:rsidR="001F4817" w:rsidRDefault="001F4817" w:rsidP="0037511F">
            <w:pPr>
              <w:spacing w:line="360" w:lineRule="auto"/>
              <w:rPr>
                <w:rFonts w:ascii="Verdana" w:hAnsi="Verdana"/>
                <w:sz w:val="21"/>
                <w:szCs w:val="21"/>
              </w:rPr>
            </w:pPr>
            <w:r>
              <w:rPr>
                <w:rFonts w:ascii="Verdana" w:hAnsi="Verdana"/>
                <w:b/>
                <w:bCs/>
                <w:color w:val="FFFFFF"/>
                <w:sz w:val="21"/>
                <w:szCs w:val="21"/>
              </w:rPr>
              <w:t>Question 8</w:t>
            </w:r>
          </w:p>
        </w:tc>
        <w:tc>
          <w:tcPr>
            <w:tcW w:w="807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14:paraId="6B709F8E" w14:textId="77777777" w:rsidR="001F4817" w:rsidRDefault="001F4817" w:rsidP="0037511F">
            <w:pPr>
              <w:spacing w:line="360" w:lineRule="auto"/>
              <w:rPr>
                <w:rFonts w:ascii="Verdana" w:hAnsi="Verdana"/>
                <w:sz w:val="21"/>
                <w:szCs w:val="21"/>
              </w:rPr>
            </w:pPr>
            <w:r>
              <w:rPr>
                <w:rFonts w:ascii="Verdana" w:hAnsi="Verdana"/>
                <w:sz w:val="21"/>
                <w:szCs w:val="21"/>
              </w:rPr>
              <w:t>What concrete steps would you recommend for simplifying the AHP application process and why?</w:t>
            </w:r>
          </w:p>
          <w:p w14:paraId="5AA5FB0D" w14:textId="77777777" w:rsidR="001F4817" w:rsidRPr="00E52D45" w:rsidRDefault="001F4817" w:rsidP="0037511F">
            <w:pPr>
              <w:spacing w:line="360" w:lineRule="auto"/>
              <w:rPr>
                <w:rFonts w:ascii="Verdana" w:hAnsi="Verdana"/>
                <w:b/>
                <w:bCs/>
                <w:sz w:val="21"/>
                <w:szCs w:val="21"/>
              </w:rPr>
            </w:pPr>
            <w:r w:rsidRPr="00E52D45">
              <w:rPr>
                <w:rFonts w:ascii="Verdana" w:hAnsi="Verdana"/>
                <w:b/>
                <w:bCs/>
                <w:color w:val="4472C4" w:themeColor="accent1"/>
                <w:sz w:val="21"/>
                <w:szCs w:val="21"/>
              </w:rPr>
              <w:t xml:space="preserve">No specific recommendations </w:t>
            </w:r>
            <w:proofErr w:type="gramStart"/>
            <w:r w:rsidRPr="00E52D45">
              <w:rPr>
                <w:rFonts w:ascii="Verdana" w:hAnsi="Verdana"/>
                <w:b/>
                <w:bCs/>
                <w:color w:val="4472C4" w:themeColor="accent1"/>
                <w:sz w:val="21"/>
                <w:szCs w:val="21"/>
              </w:rPr>
              <w:t>at this time</w:t>
            </w:r>
            <w:proofErr w:type="gramEnd"/>
            <w:r w:rsidRPr="00E52D45">
              <w:rPr>
                <w:rFonts w:ascii="Verdana" w:hAnsi="Verdana"/>
                <w:b/>
                <w:bCs/>
                <w:color w:val="4472C4" w:themeColor="accent1"/>
                <w:sz w:val="21"/>
                <w:szCs w:val="21"/>
              </w:rPr>
              <w:t>. Our team found the process very easy to follow from the members side and no issues or problems were reported by applicants.</w:t>
            </w:r>
          </w:p>
        </w:tc>
      </w:tr>
    </w:tbl>
    <w:p w14:paraId="03F9B499" w14:textId="77777777" w:rsidR="001F4817" w:rsidRDefault="001F4817"/>
    <w:sectPr w:rsidR="001F48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17"/>
    <w:rsid w:val="00176A81"/>
    <w:rsid w:val="001F4817"/>
    <w:rsid w:val="006F50E0"/>
    <w:rsid w:val="0080472A"/>
    <w:rsid w:val="00885912"/>
    <w:rsid w:val="00DE3B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AB60"/>
  <w15:chartTrackingRefBased/>
  <w15:docId w15:val="{921FAFB4-D7FA-4475-9306-F3AADBCC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Wellock, Kimbra</dc:creator>
  <cp:keywords/>
  <dc:description/>
  <cp:lastModifiedBy>Wellock, Kimbra</cp:lastModifiedBy>
  <cp:revision>2</cp:revision>
  <dcterms:created xsi:type="dcterms:W3CDTF">2024-08-15T21:10:00Z</dcterms:created>
  <dcterms:modified xsi:type="dcterms:W3CDTF">2024-08-15T21:15:00Z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f00cb3-7a5d-4674-b157-6d675423df49_Enabled">
    <vt:lpwstr>true</vt:lpwstr>
  </property>
  <property fmtid="{D5CDD505-2E9C-101B-9397-08002B2CF9AE}" pid="3" name="MSIP_Label_0cf00cb3-7a5d-4674-b157-6d675423df49_SetDate">
    <vt:lpwstr>2024-08-15T21:15:27Z</vt:lpwstr>
  </property>
  <property fmtid="{D5CDD505-2E9C-101B-9397-08002B2CF9AE}" pid="4" name="MSIP_Label_0cf00cb3-7a5d-4674-b157-6d675423df49_Method">
    <vt:lpwstr>Standard</vt:lpwstr>
  </property>
  <property fmtid="{D5CDD505-2E9C-101B-9397-08002B2CF9AE}" pid="5" name="MSIP_Label_0cf00cb3-7a5d-4674-b157-6d675423df49_Name">
    <vt:lpwstr>Internal</vt:lpwstr>
  </property>
  <property fmtid="{D5CDD505-2E9C-101B-9397-08002B2CF9AE}" pid="6" name="MSIP_Label_0cf00cb3-7a5d-4674-b157-6d675423df49_SiteId">
    <vt:lpwstr>ece76e02-a02b-4c4a-906d-98a34c5ce07a</vt:lpwstr>
  </property>
  <property fmtid="{D5CDD505-2E9C-101B-9397-08002B2CF9AE}" pid="7" name="MSIP_Label_0cf00cb3-7a5d-4674-b157-6d675423df49_ActionId">
    <vt:lpwstr>c2cd2cbd-e47a-4e11-9404-31741769be25</vt:lpwstr>
  </property>
  <property fmtid="{D5CDD505-2E9C-101B-9397-08002B2CF9AE}" pid="8" name="MSIP_Label_0cf00cb3-7a5d-4674-b157-6d675423df49_ContentBits">
    <vt:lpwstr>0</vt:lpwstr>
  </property>
</Properties>
</file>