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105D" w14:textId="77777777" w:rsidR="00FA64A5" w:rsidRPr="00FA64A5" w:rsidRDefault="00FA64A5" w:rsidP="003C2AA4">
      <w:pPr>
        <w:rPr>
          <w:rFonts w:ascii="Baskerville" w:hAnsi="Baskerville"/>
        </w:rPr>
      </w:pPr>
      <w:r w:rsidRPr="00FA64A5">
        <w:rPr>
          <w:rFonts w:ascii="Baskerville" w:hAnsi="Baskerville"/>
        </w:rPr>
        <w:t>July 14, 2024</w:t>
      </w:r>
    </w:p>
    <w:p w14:paraId="58F69B45" w14:textId="77777777" w:rsidR="00FA64A5" w:rsidRPr="00FA64A5" w:rsidRDefault="00FA64A5" w:rsidP="003C2AA4">
      <w:pPr>
        <w:rPr>
          <w:rFonts w:ascii="Baskerville" w:hAnsi="Baskerville"/>
        </w:rPr>
      </w:pPr>
    </w:p>
    <w:p w14:paraId="07AF9DF5" w14:textId="77777777" w:rsidR="00FA64A5" w:rsidRPr="00FA64A5" w:rsidRDefault="00FA64A5" w:rsidP="003C2AA4">
      <w:pPr>
        <w:rPr>
          <w:rFonts w:ascii="Baskerville" w:hAnsi="Baskerville"/>
        </w:rPr>
      </w:pPr>
    </w:p>
    <w:p w14:paraId="774B6517" w14:textId="77777777" w:rsidR="00FA64A5" w:rsidRPr="00FA64A5" w:rsidRDefault="00FA64A5" w:rsidP="003C2AA4">
      <w:pPr>
        <w:rPr>
          <w:rFonts w:ascii="Baskerville" w:hAnsi="Baskerville"/>
        </w:rPr>
      </w:pPr>
      <w:r w:rsidRPr="00FA64A5">
        <w:rPr>
          <w:rFonts w:ascii="Baskerville" w:hAnsi="Baskerville"/>
        </w:rPr>
        <w:t>Director Sandra L. Thompson</w:t>
      </w:r>
    </w:p>
    <w:p w14:paraId="22722030" w14:textId="77777777" w:rsidR="00FA64A5" w:rsidRPr="00FA64A5" w:rsidRDefault="00FA64A5" w:rsidP="003C2AA4">
      <w:pPr>
        <w:rPr>
          <w:rFonts w:ascii="Baskerville" w:hAnsi="Baskerville"/>
        </w:rPr>
      </w:pPr>
      <w:r w:rsidRPr="00FA64A5">
        <w:rPr>
          <w:rFonts w:ascii="Baskerville" w:hAnsi="Baskerville"/>
        </w:rPr>
        <w:t>Federal Housing Finance Agency</w:t>
      </w:r>
    </w:p>
    <w:p w14:paraId="0F499C72" w14:textId="77777777" w:rsidR="00FA64A5" w:rsidRPr="00FA64A5" w:rsidRDefault="00FA64A5" w:rsidP="003C2AA4">
      <w:pPr>
        <w:rPr>
          <w:rFonts w:ascii="Baskerville" w:hAnsi="Baskerville"/>
        </w:rPr>
      </w:pPr>
      <w:r w:rsidRPr="00FA64A5">
        <w:rPr>
          <w:rFonts w:ascii="Baskerville" w:hAnsi="Baskerville"/>
        </w:rPr>
        <w:t>Constitution Center</w:t>
      </w:r>
    </w:p>
    <w:p w14:paraId="16036E13" w14:textId="77777777" w:rsidR="00FA64A5" w:rsidRPr="00FA64A5" w:rsidRDefault="00FA64A5" w:rsidP="003C2AA4">
      <w:pPr>
        <w:rPr>
          <w:rFonts w:ascii="Baskerville" w:hAnsi="Baskerville"/>
        </w:rPr>
      </w:pPr>
      <w:r w:rsidRPr="00FA64A5">
        <w:rPr>
          <w:rFonts w:ascii="Baskerville" w:hAnsi="Baskerville"/>
        </w:rPr>
        <w:t>400 Seventh Street, SW</w:t>
      </w:r>
    </w:p>
    <w:p w14:paraId="1CA28C45" w14:textId="77777777" w:rsidR="00FA64A5" w:rsidRPr="00FA64A5" w:rsidRDefault="00FA64A5" w:rsidP="003C2AA4">
      <w:pPr>
        <w:rPr>
          <w:rFonts w:ascii="Baskerville" w:hAnsi="Baskerville"/>
        </w:rPr>
      </w:pPr>
      <w:r w:rsidRPr="00FA64A5">
        <w:rPr>
          <w:rFonts w:ascii="Baskerville" w:hAnsi="Baskerville"/>
        </w:rPr>
        <w:t>Washington, DC 20024</w:t>
      </w:r>
    </w:p>
    <w:p w14:paraId="3BBCFD95" w14:textId="745224C6" w:rsidR="00C52889" w:rsidRDefault="00FA64A5" w:rsidP="00FA64A5">
      <w:pPr>
        <w:rPr>
          <w:rFonts w:ascii="Baskerville" w:hAnsi="Baskerville"/>
        </w:rPr>
      </w:pPr>
      <w:r w:rsidRPr="00FA64A5">
        <w:rPr>
          <w:rFonts w:ascii="Baskerville" w:hAnsi="Baskerville"/>
        </w:rPr>
        <w:t>Re: Request for Information on Federal Home Loan Bank Mission</w:t>
      </w:r>
    </w:p>
    <w:p w14:paraId="1E20BC36" w14:textId="77777777" w:rsidR="00FA64A5" w:rsidRDefault="00FA64A5" w:rsidP="00FA64A5">
      <w:pPr>
        <w:rPr>
          <w:rFonts w:ascii="Baskerville" w:hAnsi="Baskerville"/>
        </w:rPr>
      </w:pPr>
    </w:p>
    <w:p w14:paraId="2FF0F1C7" w14:textId="093AB159" w:rsidR="00FA64A5" w:rsidRPr="00F84BEF" w:rsidRDefault="00FA64A5" w:rsidP="003C2AA4">
      <w:pPr>
        <w:rPr>
          <w:rFonts w:ascii="Baskerville" w:hAnsi="Baskerville"/>
        </w:rPr>
      </w:pPr>
      <w:r>
        <w:rPr>
          <w:rFonts w:ascii="Baskerville" w:hAnsi="Baskerville"/>
        </w:rPr>
        <w:t>Dear Director Thompson:</w:t>
      </w:r>
    </w:p>
    <w:p w14:paraId="5C5918C4" w14:textId="77777777" w:rsidR="00BC40BC" w:rsidRPr="00F84BEF" w:rsidRDefault="00BC40BC" w:rsidP="00406992">
      <w:pPr>
        <w:spacing w:after="120"/>
        <w:rPr>
          <w:rFonts w:ascii="Baskerville" w:hAnsi="Baskerville"/>
        </w:rPr>
      </w:pPr>
    </w:p>
    <w:p w14:paraId="6117F6A9" w14:textId="21419715" w:rsidR="00094A50" w:rsidRPr="00F84BEF" w:rsidRDefault="00BC40BC" w:rsidP="00F84BEF">
      <w:pPr>
        <w:spacing w:after="120"/>
        <w:ind w:firstLine="720"/>
        <w:rPr>
          <w:rFonts w:ascii="Baskerville" w:hAnsi="Baskerville"/>
        </w:rPr>
      </w:pPr>
      <w:r w:rsidRPr="00F84BEF">
        <w:rPr>
          <w:rFonts w:ascii="Baskerville" w:hAnsi="Baskerville"/>
        </w:rPr>
        <w:t xml:space="preserve">Thank you for raising these important questions about the mission of the Federal Home Loan Bank </w:t>
      </w:r>
      <w:r w:rsidR="00B0050E" w:rsidRPr="00F84BEF">
        <w:rPr>
          <w:rFonts w:ascii="Baskerville" w:hAnsi="Baskerville"/>
        </w:rPr>
        <w:t xml:space="preserve">(FHLBank) </w:t>
      </w:r>
      <w:r w:rsidRPr="00F84BEF">
        <w:rPr>
          <w:rFonts w:ascii="Baskerville" w:hAnsi="Baskerville"/>
        </w:rPr>
        <w:t>system.</w:t>
      </w:r>
      <w:r w:rsidR="002A46FC">
        <w:rPr>
          <w:rStyle w:val="FootnoteReference"/>
        </w:rPr>
        <w:footnoteReference w:id="1"/>
      </w:r>
      <w:r w:rsidRPr="00F84BEF">
        <w:rPr>
          <w:rFonts w:ascii="Baskerville" w:hAnsi="Baskerville"/>
        </w:rPr>
        <w:t xml:space="preserve"> </w:t>
      </w:r>
      <w:r w:rsidR="00B0050E" w:rsidRPr="00F84BEF">
        <w:rPr>
          <w:rFonts w:ascii="Baskerville" w:hAnsi="Baskerville"/>
        </w:rPr>
        <w:t xml:space="preserve">Updating the Core Mission Activities (CMA) regulation </w:t>
      </w:r>
      <w:r w:rsidR="00872F5B" w:rsidRPr="00F84BEF">
        <w:rPr>
          <w:rFonts w:ascii="Baskerville" w:hAnsi="Baskerville"/>
        </w:rPr>
        <w:t>for</w:t>
      </w:r>
      <w:r w:rsidR="00B0050E" w:rsidRPr="00F84BEF">
        <w:rPr>
          <w:rFonts w:ascii="Baskerville" w:hAnsi="Baskerville"/>
        </w:rPr>
        <w:t xml:space="preserve"> the FHLBank</w:t>
      </w:r>
      <w:r w:rsidR="00872F5B" w:rsidRPr="00F84BEF">
        <w:rPr>
          <w:rFonts w:ascii="Baskerville" w:hAnsi="Baskerville"/>
        </w:rPr>
        <w:t xml:space="preserve"> system</w:t>
      </w:r>
      <w:r w:rsidR="00B0050E" w:rsidRPr="00F84BEF">
        <w:rPr>
          <w:rFonts w:ascii="Baskerville" w:hAnsi="Baskerville"/>
        </w:rPr>
        <w:t xml:space="preserve"> is a critical step </w:t>
      </w:r>
      <w:r w:rsidR="00594C54" w:rsidRPr="00F84BEF">
        <w:rPr>
          <w:rFonts w:ascii="Baskerville" w:hAnsi="Baskerville"/>
        </w:rPr>
        <w:t xml:space="preserve">in the efforts to </w:t>
      </w:r>
      <w:r w:rsidR="00872F5B" w:rsidRPr="00F84BEF">
        <w:rPr>
          <w:rFonts w:ascii="Baskerville" w:hAnsi="Baskerville"/>
        </w:rPr>
        <w:t>redirect</w:t>
      </w:r>
      <w:r w:rsidR="00594C54" w:rsidRPr="00F84BEF">
        <w:rPr>
          <w:rFonts w:ascii="Baskerville" w:hAnsi="Baskerville"/>
        </w:rPr>
        <w:t xml:space="preserve"> the system </w:t>
      </w:r>
      <w:r w:rsidR="00F17DDA">
        <w:rPr>
          <w:rFonts w:ascii="Baskerville" w:hAnsi="Baskerville"/>
        </w:rPr>
        <w:t>to</w:t>
      </w:r>
      <w:r w:rsidR="00872F5B" w:rsidRPr="00F84BEF">
        <w:rPr>
          <w:rFonts w:ascii="Baskerville" w:hAnsi="Baskerville"/>
        </w:rPr>
        <w:t xml:space="preserve"> </w:t>
      </w:r>
      <w:r w:rsidR="00FA64A5">
        <w:rPr>
          <w:rFonts w:ascii="Baskerville" w:hAnsi="Baskerville"/>
        </w:rPr>
        <w:t xml:space="preserve">again </w:t>
      </w:r>
      <w:r w:rsidR="00872F5B" w:rsidRPr="00F84BEF">
        <w:rPr>
          <w:rFonts w:ascii="Baskerville" w:hAnsi="Baskerville"/>
        </w:rPr>
        <w:t xml:space="preserve">serve </w:t>
      </w:r>
      <w:r w:rsidR="00594C54" w:rsidRPr="00F84BEF">
        <w:rPr>
          <w:rFonts w:ascii="Baskerville" w:hAnsi="Baskerville"/>
        </w:rPr>
        <w:t xml:space="preserve">primarily public aims. </w:t>
      </w:r>
      <w:r w:rsidR="00DE385C" w:rsidRPr="00F84BEF">
        <w:rPr>
          <w:rFonts w:ascii="Baskerville" w:hAnsi="Baskerville"/>
        </w:rPr>
        <w:t xml:space="preserve">As a law professor who has spent years studying the </w:t>
      </w:r>
      <w:r w:rsidR="007A442A" w:rsidRPr="00F84BEF">
        <w:rPr>
          <w:rFonts w:ascii="Baskerville" w:hAnsi="Baskerville"/>
        </w:rPr>
        <w:t>FHLBanks</w:t>
      </w:r>
      <w:r w:rsidR="00F17DDA">
        <w:rPr>
          <w:rFonts w:ascii="Baskerville" w:hAnsi="Baskerville"/>
        </w:rPr>
        <w:t xml:space="preserve"> and a former Congressional staffer who helped write </w:t>
      </w:r>
      <w:r w:rsidR="001F45F6">
        <w:rPr>
          <w:rFonts w:ascii="Baskerville" w:hAnsi="Baskerville"/>
        </w:rPr>
        <w:t>the Housing and Economic Recovery Act (</w:t>
      </w:r>
      <w:r w:rsidR="00F17DDA">
        <w:rPr>
          <w:rFonts w:ascii="Baskerville" w:hAnsi="Baskerville"/>
        </w:rPr>
        <w:t>HERA</w:t>
      </w:r>
      <w:r w:rsidR="001F45F6">
        <w:rPr>
          <w:rFonts w:ascii="Baskerville" w:hAnsi="Baskerville"/>
        </w:rPr>
        <w:t xml:space="preserve">) which </w:t>
      </w:r>
      <w:r w:rsidR="00F17DDA">
        <w:rPr>
          <w:rFonts w:ascii="Baskerville" w:hAnsi="Baskerville"/>
        </w:rPr>
        <w:t>creat</w:t>
      </w:r>
      <w:r w:rsidR="001F45F6">
        <w:rPr>
          <w:rFonts w:ascii="Baskerville" w:hAnsi="Baskerville"/>
        </w:rPr>
        <w:t>ed the Federal Housing Finance Agency</w:t>
      </w:r>
      <w:r w:rsidR="00F17DDA">
        <w:rPr>
          <w:rFonts w:ascii="Baskerville" w:hAnsi="Baskerville"/>
        </w:rPr>
        <w:t xml:space="preserve"> </w:t>
      </w:r>
      <w:r w:rsidR="001F45F6">
        <w:rPr>
          <w:rFonts w:ascii="Baskerville" w:hAnsi="Baskerville"/>
        </w:rPr>
        <w:t>(</w:t>
      </w:r>
      <w:r w:rsidR="00F17DDA">
        <w:rPr>
          <w:rFonts w:ascii="Baskerville" w:hAnsi="Baskerville"/>
        </w:rPr>
        <w:t>FHFA</w:t>
      </w:r>
      <w:r w:rsidR="001F45F6">
        <w:rPr>
          <w:rFonts w:ascii="Baskerville" w:hAnsi="Baskerville"/>
        </w:rPr>
        <w:t>)</w:t>
      </w:r>
      <w:r w:rsidR="00F17DDA">
        <w:rPr>
          <w:rFonts w:ascii="Baskerville" w:hAnsi="Baskerville"/>
        </w:rPr>
        <w:t xml:space="preserve"> to regulate the FHLB</w:t>
      </w:r>
      <w:r w:rsidR="001F45F6">
        <w:rPr>
          <w:rFonts w:ascii="Baskerville" w:hAnsi="Baskerville"/>
        </w:rPr>
        <w:t>ank</w:t>
      </w:r>
      <w:r w:rsidR="00F17DDA">
        <w:rPr>
          <w:rFonts w:ascii="Baskerville" w:hAnsi="Baskerville"/>
        </w:rPr>
        <w:t>s, we</w:t>
      </w:r>
      <w:r w:rsidR="00DE385C" w:rsidRPr="00F84BEF">
        <w:rPr>
          <w:rFonts w:ascii="Baskerville" w:hAnsi="Baskerville"/>
        </w:rPr>
        <w:t xml:space="preserve"> have been inspired by the </w:t>
      </w:r>
      <w:r w:rsidR="00094A50" w:rsidRPr="00F84BEF">
        <w:rPr>
          <w:rFonts w:ascii="Baskerville" w:hAnsi="Baskerville"/>
        </w:rPr>
        <w:t xml:space="preserve">important role </w:t>
      </w:r>
      <w:r w:rsidR="007A442A" w:rsidRPr="00F84BEF">
        <w:rPr>
          <w:rFonts w:ascii="Baskerville" w:hAnsi="Baskerville"/>
        </w:rPr>
        <w:t>the FHLBanks</w:t>
      </w:r>
      <w:r w:rsidR="00FA64A5">
        <w:rPr>
          <w:rFonts w:ascii="Baskerville" w:hAnsi="Baskerville"/>
        </w:rPr>
        <w:t xml:space="preserve"> historically</w:t>
      </w:r>
      <w:r w:rsidR="00094A50" w:rsidRPr="00F84BEF">
        <w:rPr>
          <w:rFonts w:ascii="Baskerville" w:hAnsi="Baskerville"/>
        </w:rPr>
        <w:t xml:space="preserve"> play</w:t>
      </w:r>
      <w:r w:rsidR="00FA64A5">
        <w:rPr>
          <w:rFonts w:ascii="Baskerville" w:hAnsi="Baskerville"/>
        </w:rPr>
        <w:t>ed</w:t>
      </w:r>
      <w:r w:rsidR="00094A50" w:rsidRPr="00F84BEF">
        <w:rPr>
          <w:rFonts w:ascii="Baskerville" w:hAnsi="Baskerville"/>
        </w:rPr>
        <w:t xml:space="preserve"> in facilitat</w:t>
      </w:r>
      <w:r w:rsidR="001F45F6">
        <w:rPr>
          <w:rFonts w:ascii="Baskerville" w:hAnsi="Baskerville"/>
        </w:rPr>
        <w:t>ing</w:t>
      </w:r>
      <w:r w:rsidR="00094A50" w:rsidRPr="00F84BEF">
        <w:rPr>
          <w:rFonts w:ascii="Baskerville" w:hAnsi="Baskerville"/>
        </w:rPr>
        <w:t xml:space="preserve"> the flow of under-supplied credit and </w:t>
      </w:r>
      <w:r w:rsidR="007A442A" w:rsidRPr="00F84BEF">
        <w:rPr>
          <w:rFonts w:ascii="Baskerville" w:hAnsi="Baskerville"/>
        </w:rPr>
        <w:t>promot</w:t>
      </w:r>
      <w:r w:rsidR="00FA64A5">
        <w:rPr>
          <w:rFonts w:ascii="Baskerville" w:hAnsi="Baskerville"/>
        </w:rPr>
        <w:t>ing</w:t>
      </w:r>
      <w:r w:rsidR="007A442A" w:rsidRPr="00F84BEF">
        <w:rPr>
          <w:rFonts w:ascii="Baskerville" w:hAnsi="Baskerville"/>
        </w:rPr>
        <w:t xml:space="preserve"> </w:t>
      </w:r>
      <w:r w:rsidR="00094A50" w:rsidRPr="00F84BEF">
        <w:rPr>
          <w:rFonts w:ascii="Baskerville" w:hAnsi="Baskerville"/>
        </w:rPr>
        <w:t xml:space="preserve">the </w:t>
      </w:r>
      <w:r w:rsidR="00FA64A5">
        <w:rPr>
          <w:rFonts w:ascii="Baskerville" w:hAnsi="Baskerville"/>
        </w:rPr>
        <w:t>viability</w:t>
      </w:r>
      <w:r w:rsidR="00FA64A5" w:rsidRPr="00F84BEF">
        <w:rPr>
          <w:rFonts w:ascii="Baskerville" w:hAnsi="Baskerville"/>
        </w:rPr>
        <w:t xml:space="preserve"> </w:t>
      </w:r>
      <w:r w:rsidR="00094A50" w:rsidRPr="00F84BEF">
        <w:rPr>
          <w:rFonts w:ascii="Baskerville" w:hAnsi="Baskerville"/>
        </w:rPr>
        <w:t xml:space="preserve">of the small financial institutions that </w:t>
      </w:r>
      <w:r w:rsidR="00872F5B" w:rsidRPr="00F84BEF">
        <w:rPr>
          <w:rFonts w:ascii="Baskerville" w:hAnsi="Baskerville"/>
        </w:rPr>
        <w:t xml:space="preserve">are </w:t>
      </w:r>
      <w:r w:rsidR="00FA64A5">
        <w:rPr>
          <w:rFonts w:ascii="Baskerville" w:hAnsi="Baskerville"/>
        </w:rPr>
        <w:t xml:space="preserve">distinctly </w:t>
      </w:r>
      <w:r w:rsidR="00872F5B" w:rsidRPr="00F84BEF">
        <w:rPr>
          <w:rFonts w:ascii="Baskerville" w:hAnsi="Baskerville"/>
        </w:rPr>
        <w:t>well</w:t>
      </w:r>
      <w:r w:rsidR="00094A50" w:rsidRPr="00F84BEF">
        <w:rPr>
          <w:rFonts w:ascii="Baskerville" w:hAnsi="Baskerville"/>
        </w:rPr>
        <w:t xml:space="preserve"> positioned to provide that credit. </w:t>
      </w:r>
      <w:r w:rsidR="00F17DDA">
        <w:rPr>
          <w:rFonts w:ascii="Baskerville" w:hAnsi="Baskerville"/>
        </w:rPr>
        <w:t>We</w:t>
      </w:r>
      <w:r w:rsidR="00F17DDA" w:rsidRPr="00F84BEF">
        <w:rPr>
          <w:rFonts w:ascii="Baskerville" w:hAnsi="Baskerville"/>
        </w:rPr>
        <w:t xml:space="preserve"> </w:t>
      </w:r>
      <w:r w:rsidR="00094A50" w:rsidRPr="00F84BEF">
        <w:rPr>
          <w:rFonts w:ascii="Baskerville" w:hAnsi="Baskerville"/>
        </w:rPr>
        <w:t xml:space="preserve">have been equally disheartened studying </w:t>
      </w:r>
      <w:r w:rsidR="00F17DDA" w:rsidRPr="00F84BEF">
        <w:rPr>
          <w:rFonts w:ascii="Baskerville" w:hAnsi="Baskerville"/>
        </w:rPr>
        <w:t>the</w:t>
      </w:r>
      <w:r w:rsidR="00F17DDA">
        <w:rPr>
          <w:rFonts w:ascii="Baskerville" w:hAnsi="Baskerville"/>
        </w:rPr>
        <w:t xml:space="preserve"> FHLB</w:t>
      </w:r>
      <w:r w:rsidR="001F45F6">
        <w:rPr>
          <w:rFonts w:ascii="Baskerville" w:hAnsi="Baskerville"/>
        </w:rPr>
        <w:t>ank</w:t>
      </w:r>
      <w:r w:rsidR="00F17DDA">
        <w:rPr>
          <w:rFonts w:ascii="Baskerville" w:hAnsi="Baskerville"/>
        </w:rPr>
        <w:t>s</w:t>
      </w:r>
      <w:r w:rsidR="001F45F6">
        <w:rPr>
          <w:rFonts w:ascii="Baskerville" w:hAnsi="Baskerville"/>
        </w:rPr>
        <w:t>’</w:t>
      </w:r>
      <w:r w:rsidR="00F17DDA" w:rsidRPr="00F84BEF">
        <w:rPr>
          <w:rFonts w:ascii="Baskerville" w:hAnsi="Baskerville"/>
        </w:rPr>
        <w:t xml:space="preserve"> </w:t>
      </w:r>
      <w:r w:rsidR="00094A50" w:rsidRPr="00F84BEF">
        <w:rPr>
          <w:rFonts w:ascii="Baskerville" w:hAnsi="Baskerville"/>
        </w:rPr>
        <w:t>operations in recent decades</w:t>
      </w:r>
      <w:r w:rsidR="00FA64A5">
        <w:rPr>
          <w:rFonts w:ascii="Baskerville" w:hAnsi="Baskerville"/>
        </w:rPr>
        <w:t>. The FHLBanks</w:t>
      </w:r>
      <w:r w:rsidR="00094A50" w:rsidRPr="00F84BEF">
        <w:rPr>
          <w:rFonts w:ascii="Baskerville" w:hAnsi="Baskerville"/>
        </w:rPr>
        <w:t xml:space="preserve"> </w:t>
      </w:r>
      <w:r w:rsidR="00FA64A5">
        <w:rPr>
          <w:rFonts w:ascii="Baskerville" w:hAnsi="Baskerville"/>
        </w:rPr>
        <w:t>today are</w:t>
      </w:r>
      <w:r w:rsidR="00094A50" w:rsidRPr="00F84BEF">
        <w:rPr>
          <w:rFonts w:ascii="Baskerville" w:hAnsi="Baskerville"/>
        </w:rPr>
        <w:t xml:space="preserve"> more focused on maximizing profits and </w:t>
      </w:r>
      <w:r w:rsidR="00872F5B" w:rsidRPr="00F84BEF">
        <w:rPr>
          <w:rFonts w:ascii="Baskerville" w:hAnsi="Baskerville"/>
        </w:rPr>
        <w:t xml:space="preserve">extracting </w:t>
      </w:r>
      <w:r w:rsidR="00F17DDA">
        <w:rPr>
          <w:rFonts w:ascii="Baskerville" w:hAnsi="Baskerville"/>
        </w:rPr>
        <w:t xml:space="preserve">economic </w:t>
      </w:r>
      <w:r w:rsidR="00094A50" w:rsidRPr="00F84BEF">
        <w:rPr>
          <w:rFonts w:ascii="Baskerville" w:hAnsi="Baskerville"/>
        </w:rPr>
        <w:t>rent</w:t>
      </w:r>
      <w:r w:rsidR="00872F5B" w:rsidRPr="00F84BEF">
        <w:rPr>
          <w:rFonts w:ascii="Baskerville" w:hAnsi="Baskerville"/>
        </w:rPr>
        <w:t>s</w:t>
      </w:r>
      <w:r w:rsidR="00094A50" w:rsidRPr="00F84BEF">
        <w:rPr>
          <w:rFonts w:ascii="Baskerville" w:hAnsi="Baskerville"/>
        </w:rPr>
        <w:t xml:space="preserve"> than </w:t>
      </w:r>
      <w:r w:rsidR="00872F5B" w:rsidRPr="00F84BEF">
        <w:rPr>
          <w:rFonts w:ascii="Baskerville" w:hAnsi="Baskerville"/>
        </w:rPr>
        <w:t>serving the</w:t>
      </w:r>
      <w:r w:rsidR="00094A50" w:rsidRPr="00F84BEF">
        <w:rPr>
          <w:rFonts w:ascii="Baskerville" w:hAnsi="Baskerville"/>
        </w:rPr>
        <w:t xml:space="preserve"> public </w:t>
      </w:r>
      <w:r w:rsidR="00872F5B" w:rsidRPr="00F84BEF">
        <w:rPr>
          <w:rFonts w:ascii="Baskerville" w:hAnsi="Baskerville"/>
        </w:rPr>
        <w:t>aims</w:t>
      </w:r>
      <w:r w:rsidR="00094A50" w:rsidRPr="00F84BEF">
        <w:rPr>
          <w:rFonts w:ascii="Baskerville" w:hAnsi="Baskerville"/>
        </w:rPr>
        <w:t xml:space="preserve"> that </w:t>
      </w:r>
      <w:r w:rsidR="00872F5B" w:rsidRPr="00F84BEF">
        <w:rPr>
          <w:rFonts w:ascii="Baskerville" w:hAnsi="Baskerville"/>
        </w:rPr>
        <w:t xml:space="preserve">could </w:t>
      </w:r>
      <w:r w:rsidR="00094A50" w:rsidRPr="00F84BEF">
        <w:rPr>
          <w:rFonts w:ascii="Baskerville" w:hAnsi="Baskerville"/>
        </w:rPr>
        <w:t>justify the significant public subsidies the</w:t>
      </w:r>
      <w:r w:rsidR="00F17DDA">
        <w:rPr>
          <w:rFonts w:ascii="Baskerville" w:hAnsi="Baskerville"/>
        </w:rPr>
        <w:t xml:space="preserve"> FHLB</w:t>
      </w:r>
      <w:r w:rsidR="001F45F6">
        <w:rPr>
          <w:rFonts w:ascii="Baskerville" w:hAnsi="Baskerville"/>
        </w:rPr>
        <w:t>ank</w:t>
      </w:r>
      <w:r w:rsidR="00F17DDA">
        <w:rPr>
          <w:rFonts w:ascii="Baskerville" w:hAnsi="Baskerville"/>
        </w:rPr>
        <w:t>s</w:t>
      </w:r>
      <w:r w:rsidR="00094A50" w:rsidRPr="00F84BEF">
        <w:rPr>
          <w:rFonts w:ascii="Baskerville" w:hAnsi="Baskerville"/>
        </w:rPr>
        <w:t xml:space="preserve"> enjoy. </w:t>
      </w:r>
    </w:p>
    <w:p w14:paraId="50580E11" w14:textId="4B33764A" w:rsidR="00FA64A5" w:rsidRDefault="000365CF" w:rsidP="00F84BEF">
      <w:pPr>
        <w:spacing w:after="120"/>
        <w:ind w:firstLine="720"/>
        <w:rPr>
          <w:rFonts w:ascii="Baskerville" w:hAnsi="Baskerville"/>
        </w:rPr>
      </w:pPr>
      <w:r w:rsidRPr="00F84BEF">
        <w:rPr>
          <w:rFonts w:ascii="Baskerville" w:hAnsi="Baskerville"/>
        </w:rPr>
        <w:t>The first question that the Request for Information (RFI) poses is fundamental</w:t>
      </w:r>
      <w:r w:rsidR="004E46D6">
        <w:rPr>
          <w:rFonts w:ascii="Baskerville" w:hAnsi="Baskerville"/>
        </w:rPr>
        <w:t>,</w:t>
      </w:r>
      <w:r w:rsidRPr="00F84BEF">
        <w:rPr>
          <w:rFonts w:ascii="Baskerville" w:hAnsi="Baskerville"/>
        </w:rPr>
        <w:t xml:space="preserve"> and </w:t>
      </w:r>
      <w:r w:rsidR="00F17DDA">
        <w:rPr>
          <w:rFonts w:ascii="Baskerville" w:hAnsi="Baskerville"/>
        </w:rPr>
        <w:t>our</w:t>
      </w:r>
      <w:r w:rsidRPr="00F84BEF">
        <w:rPr>
          <w:rFonts w:ascii="Baskerville" w:hAnsi="Baskerville"/>
        </w:rPr>
        <w:t xml:space="preserve"> comments </w:t>
      </w:r>
      <w:r w:rsidR="001F45F6">
        <w:rPr>
          <w:rFonts w:ascii="Baskerville" w:hAnsi="Baskerville"/>
        </w:rPr>
        <w:t xml:space="preserve">focus </w:t>
      </w:r>
      <w:r w:rsidR="00872F5B" w:rsidRPr="00F84BEF">
        <w:rPr>
          <w:rFonts w:ascii="Baskerville" w:hAnsi="Baskerville"/>
        </w:rPr>
        <w:t xml:space="preserve">almost </w:t>
      </w:r>
      <w:r w:rsidRPr="00F84BEF">
        <w:rPr>
          <w:rFonts w:ascii="Baskerville" w:hAnsi="Baskerville"/>
        </w:rPr>
        <w:t xml:space="preserve">entirely on the question of how best to tether </w:t>
      </w:r>
      <w:r w:rsidR="00872F5B" w:rsidRPr="00F84BEF">
        <w:rPr>
          <w:rFonts w:ascii="Baskerville" w:hAnsi="Baskerville"/>
        </w:rPr>
        <w:t>the main business of the FHLBanks</w:t>
      </w:r>
      <w:r w:rsidR="004E46D6">
        <w:rPr>
          <w:rFonts w:ascii="Baskerville" w:hAnsi="Baskerville"/>
        </w:rPr>
        <w:t>—</w:t>
      </w:r>
      <w:r w:rsidR="00872F5B" w:rsidRPr="00F84BEF">
        <w:rPr>
          <w:rFonts w:ascii="Baskerville" w:hAnsi="Baskerville"/>
        </w:rPr>
        <w:t>that is, l</w:t>
      </w:r>
      <w:r w:rsidR="009E78F5" w:rsidRPr="00F84BEF">
        <w:rPr>
          <w:rFonts w:ascii="Baskerville" w:hAnsi="Baskerville"/>
        </w:rPr>
        <w:t>iquidity provisioning via advances</w:t>
      </w:r>
      <w:r w:rsidR="004E46D6">
        <w:rPr>
          <w:rFonts w:ascii="Baskerville" w:hAnsi="Baskerville"/>
        </w:rPr>
        <w:t>—</w:t>
      </w:r>
      <w:r w:rsidR="009E78F5" w:rsidRPr="00F84BEF">
        <w:rPr>
          <w:rFonts w:ascii="Baskerville" w:hAnsi="Baskerville"/>
        </w:rPr>
        <w:t xml:space="preserve">with the housing and community development aims at the core of the FHLBank </w:t>
      </w:r>
      <w:r w:rsidR="00FA64A5">
        <w:rPr>
          <w:rFonts w:ascii="Baskerville" w:hAnsi="Baskerville"/>
        </w:rPr>
        <w:t>s</w:t>
      </w:r>
      <w:r w:rsidR="00FA64A5" w:rsidRPr="00F84BEF">
        <w:rPr>
          <w:rFonts w:ascii="Baskerville" w:hAnsi="Baskerville"/>
        </w:rPr>
        <w:t>ystem</w:t>
      </w:r>
      <w:r w:rsidR="009E78F5" w:rsidRPr="00F84BEF">
        <w:rPr>
          <w:rFonts w:ascii="Baskerville" w:hAnsi="Baskerville"/>
        </w:rPr>
        <w:t xml:space="preserve">. </w:t>
      </w:r>
      <w:r w:rsidR="00094A50" w:rsidRPr="00F84BEF">
        <w:rPr>
          <w:rFonts w:ascii="Baskerville" w:hAnsi="Baskerville"/>
        </w:rPr>
        <w:t xml:space="preserve">To preview </w:t>
      </w:r>
      <w:r w:rsidR="00F17DDA">
        <w:rPr>
          <w:rFonts w:ascii="Baskerville" w:hAnsi="Baskerville"/>
        </w:rPr>
        <w:t>our</w:t>
      </w:r>
      <w:r w:rsidR="00F17DDA" w:rsidRPr="00F84BEF">
        <w:rPr>
          <w:rFonts w:ascii="Baskerville" w:hAnsi="Baskerville"/>
        </w:rPr>
        <w:t xml:space="preserve"> </w:t>
      </w:r>
      <w:r w:rsidR="00094A50" w:rsidRPr="00F84BEF">
        <w:rPr>
          <w:rFonts w:ascii="Baskerville" w:hAnsi="Baskerville"/>
        </w:rPr>
        <w:t>conclusion</w:t>
      </w:r>
      <w:r w:rsidR="00594C54" w:rsidRPr="00F84BEF">
        <w:rPr>
          <w:rFonts w:ascii="Baskerville" w:hAnsi="Baskerville"/>
        </w:rPr>
        <w:t>:</w:t>
      </w:r>
      <w:r w:rsidR="0000153F">
        <w:rPr>
          <w:rFonts w:ascii="Baskerville" w:hAnsi="Baskerville"/>
        </w:rPr>
        <w:t xml:space="preserve"> The FHFA should cease assuming that all advances are </w:t>
      </w:r>
      <w:r w:rsidR="0000153F" w:rsidRPr="00F84BEF">
        <w:rPr>
          <w:rFonts w:ascii="Baskerville" w:hAnsi="Baskerville"/>
        </w:rPr>
        <w:t>core mission activities</w:t>
      </w:r>
      <w:r w:rsidR="0000153F">
        <w:rPr>
          <w:rFonts w:ascii="Baskerville" w:hAnsi="Baskerville"/>
        </w:rPr>
        <w:t xml:space="preserve">. </w:t>
      </w:r>
      <w:r w:rsidR="00094A50" w:rsidRPr="00F84BEF">
        <w:rPr>
          <w:rFonts w:ascii="Baskerville" w:hAnsi="Baskerville"/>
        </w:rPr>
        <w:t>General liquidity provision was an important and legitimate function of the FHLBank system</w:t>
      </w:r>
      <w:r w:rsidR="0000153F">
        <w:rPr>
          <w:rFonts w:ascii="Baskerville" w:hAnsi="Baskerville"/>
        </w:rPr>
        <w:t xml:space="preserve"> during its early decades. At that time,</w:t>
      </w:r>
      <w:r w:rsidR="00094A50" w:rsidRPr="00F84BEF">
        <w:rPr>
          <w:rFonts w:ascii="Baskerville" w:hAnsi="Baskerville"/>
        </w:rPr>
        <w:t xml:space="preserve"> most of </w:t>
      </w:r>
      <w:r w:rsidR="0000153F">
        <w:rPr>
          <w:rFonts w:ascii="Baskerville" w:hAnsi="Baskerville"/>
        </w:rPr>
        <w:t>FHLBank</w:t>
      </w:r>
      <w:r w:rsidR="0000153F" w:rsidRPr="00F84BEF">
        <w:rPr>
          <w:rFonts w:ascii="Baskerville" w:hAnsi="Baskerville"/>
        </w:rPr>
        <w:t xml:space="preserve"> </w:t>
      </w:r>
      <w:r w:rsidR="00094A50" w:rsidRPr="00F84BEF">
        <w:rPr>
          <w:rFonts w:ascii="Baskerville" w:hAnsi="Baskerville"/>
        </w:rPr>
        <w:t>members were thrifts</w:t>
      </w:r>
      <w:r w:rsidR="0000153F">
        <w:rPr>
          <w:rFonts w:ascii="Baskerville" w:hAnsi="Baskerville"/>
        </w:rPr>
        <w:t xml:space="preserve">, </w:t>
      </w:r>
      <w:r w:rsidR="00094A50" w:rsidRPr="00F84BEF">
        <w:rPr>
          <w:rFonts w:ascii="Baskerville" w:hAnsi="Baskerville"/>
        </w:rPr>
        <w:t xml:space="preserve">thrifts </w:t>
      </w:r>
      <w:r w:rsidR="00F17DDA">
        <w:rPr>
          <w:rFonts w:ascii="Baskerville" w:hAnsi="Baskerville"/>
        </w:rPr>
        <w:t xml:space="preserve">were fundamentally different than banks, </w:t>
      </w:r>
      <w:r w:rsidR="0000153F">
        <w:rPr>
          <w:rFonts w:ascii="Baskerville" w:hAnsi="Baskerville"/>
        </w:rPr>
        <w:t xml:space="preserve">and thrifts lacked direct </w:t>
      </w:r>
      <w:r w:rsidR="00094A50" w:rsidRPr="00F84BEF">
        <w:rPr>
          <w:rFonts w:ascii="Baskerville" w:hAnsi="Baskerville"/>
        </w:rPr>
        <w:t>access to the Federal Reserve</w:t>
      </w:r>
      <w:r w:rsidR="00F17DDA">
        <w:rPr>
          <w:rFonts w:ascii="Baskerville" w:hAnsi="Baskerville"/>
        </w:rPr>
        <w:t xml:space="preserve"> </w:t>
      </w:r>
      <w:r w:rsidR="001F45F6">
        <w:rPr>
          <w:rFonts w:ascii="Baskerville" w:hAnsi="Baskerville"/>
        </w:rPr>
        <w:t>S</w:t>
      </w:r>
      <w:r w:rsidR="00F17DDA">
        <w:rPr>
          <w:rFonts w:ascii="Baskerville" w:hAnsi="Baskerville"/>
        </w:rPr>
        <w:t>ystem</w:t>
      </w:r>
      <w:r w:rsidR="0000153F">
        <w:rPr>
          <w:rFonts w:ascii="Baskerville" w:hAnsi="Baskerville"/>
        </w:rPr>
        <w:t xml:space="preserve"> (Fed) as a lender of last resort</w:t>
      </w:r>
      <w:r w:rsidR="00094A50" w:rsidRPr="00F84BEF">
        <w:rPr>
          <w:rFonts w:ascii="Baskerville" w:hAnsi="Baskerville"/>
        </w:rPr>
        <w:t>. Today</w:t>
      </w:r>
      <w:r w:rsidR="007A442A" w:rsidRPr="00F84BEF">
        <w:rPr>
          <w:rFonts w:ascii="Baskerville" w:hAnsi="Baskerville"/>
        </w:rPr>
        <w:t xml:space="preserve">, </w:t>
      </w:r>
      <w:r w:rsidR="00F17DDA">
        <w:rPr>
          <w:rFonts w:ascii="Baskerville" w:hAnsi="Baskerville"/>
        </w:rPr>
        <w:t>thrifts and banks are almost identical for economic, legal, and regulatory purposes</w:t>
      </w:r>
      <w:r w:rsidR="004E46D6">
        <w:rPr>
          <w:rFonts w:ascii="Baskerville" w:hAnsi="Baskerville"/>
        </w:rPr>
        <w:t>,</w:t>
      </w:r>
      <w:r w:rsidR="0000153F">
        <w:rPr>
          <w:rFonts w:ascii="Baskerville" w:hAnsi="Baskerville"/>
        </w:rPr>
        <w:t xml:space="preserve"> and most FHLBank members that engage in maturity transformation can (and should) borrow from the Fed’s discount window if they face liquidity strains</w:t>
      </w:r>
      <w:r w:rsidR="00F17DDA">
        <w:rPr>
          <w:rFonts w:ascii="Baskerville" w:hAnsi="Baskerville"/>
        </w:rPr>
        <w:t xml:space="preserve">. </w:t>
      </w:r>
    </w:p>
    <w:p w14:paraId="6F5E9AF7" w14:textId="104DE128" w:rsidR="00063774" w:rsidRPr="00F84BEF" w:rsidRDefault="00F17DDA" w:rsidP="00F84BEF">
      <w:pPr>
        <w:spacing w:after="120"/>
        <w:ind w:firstLine="720"/>
        <w:rPr>
          <w:rFonts w:ascii="Baskerville" w:hAnsi="Baskerville"/>
        </w:rPr>
      </w:pPr>
      <w:r>
        <w:rPr>
          <w:rFonts w:ascii="Baskerville" w:hAnsi="Baskerville"/>
        </w:rPr>
        <w:t>T</w:t>
      </w:r>
      <w:r w:rsidR="007A442A" w:rsidRPr="00F84BEF">
        <w:rPr>
          <w:rFonts w:ascii="Baskerville" w:hAnsi="Baskerville"/>
        </w:rPr>
        <w:t xml:space="preserve">he </w:t>
      </w:r>
      <w:r>
        <w:rPr>
          <w:rFonts w:ascii="Baskerville" w:hAnsi="Baskerville"/>
        </w:rPr>
        <w:t>evolution of the</w:t>
      </w:r>
      <w:r w:rsidR="007A442A" w:rsidRPr="00F84BEF">
        <w:rPr>
          <w:rFonts w:ascii="Baskerville" w:hAnsi="Baskerville"/>
        </w:rPr>
        <w:t xml:space="preserve"> FHLBank system as a lender-of-second-to-last resort</w:t>
      </w:r>
      <w:r w:rsidR="00094A50" w:rsidRPr="00F84BEF">
        <w:rPr>
          <w:rFonts w:ascii="Baskerville" w:hAnsi="Baskerville"/>
        </w:rPr>
        <w:t xml:space="preserve"> </w:t>
      </w:r>
      <w:r w:rsidR="007A442A" w:rsidRPr="00F84BEF">
        <w:rPr>
          <w:rFonts w:ascii="Baskerville" w:hAnsi="Baskerville"/>
        </w:rPr>
        <w:t>reduces accountability, undermines the efficacy and functioning of the Fed’s discount window</w:t>
      </w:r>
      <w:r w:rsidR="004E46D6">
        <w:rPr>
          <w:rFonts w:ascii="Baskerville" w:hAnsi="Baskerville"/>
        </w:rPr>
        <w:t>,</w:t>
      </w:r>
      <w:r w:rsidR="00094A50" w:rsidRPr="00F84BEF">
        <w:rPr>
          <w:rFonts w:ascii="Baskerville" w:hAnsi="Baskerville"/>
        </w:rPr>
        <w:t xml:space="preserve"> and allows the FHLBanks to exploit their government backstop without </w:t>
      </w:r>
      <w:r w:rsidR="00872F5B" w:rsidRPr="00F84BEF">
        <w:rPr>
          <w:rFonts w:ascii="Baskerville" w:hAnsi="Baskerville"/>
        </w:rPr>
        <w:t>furthering</w:t>
      </w:r>
      <w:r w:rsidR="007A442A" w:rsidRPr="00F84BEF">
        <w:rPr>
          <w:rFonts w:ascii="Baskerville" w:hAnsi="Baskerville"/>
        </w:rPr>
        <w:t xml:space="preserve"> </w:t>
      </w:r>
      <w:r w:rsidR="00094A50" w:rsidRPr="00F84BEF">
        <w:rPr>
          <w:rFonts w:ascii="Baskerville" w:hAnsi="Baskerville"/>
        </w:rPr>
        <w:t>public aims.</w:t>
      </w:r>
      <w:r w:rsidR="007A442A" w:rsidRPr="00F84BEF">
        <w:rPr>
          <w:rFonts w:ascii="Baskerville" w:hAnsi="Baskerville"/>
        </w:rPr>
        <w:t xml:space="preserve"> </w:t>
      </w:r>
      <w:r>
        <w:rPr>
          <w:rFonts w:ascii="Baskerville" w:hAnsi="Baskerville"/>
        </w:rPr>
        <w:t xml:space="preserve">It also allows troubled institutions to continue </w:t>
      </w:r>
      <w:r w:rsidR="004E46D6">
        <w:rPr>
          <w:rFonts w:ascii="Baskerville" w:hAnsi="Baskerville"/>
        </w:rPr>
        <w:t xml:space="preserve">the same </w:t>
      </w:r>
      <w:r>
        <w:rPr>
          <w:rFonts w:ascii="Baskerville" w:hAnsi="Baskerville"/>
        </w:rPr>
        <w:t>behav</w:t>
      </w:r>
      <w:r w:rsidR="001F45F6">
        <w:rPr>
          <w:rFonts w:ascii="Baskerville" w:hAnsi="Baskerville"/>
        </w:rPr>
        <w:t>iors</w:t>
      </w:r>
      <w:r>
        <w:rPr>
          <w:rFonts w:ascii="Baskerville" w:hAnsi="Baskerville"/>
        </w:rPr>
        <w:t xml:space="preserve"> that led to their problems, exacerbating the eventual </w:t>
      </w:r>
      <w:r w:rsidR="001F45F6">
        <w:rPr>
          <w:rFonts w:ascii="Baskerville" w:hAnsi="Baskerville"/>
        </w:rPr>
        <w:t>negative consequences</w:t>
      </w:r>
      <w:r>
        <w:rPr>
          <w:rFonts w:ascii="Baskerville" w:hAnsi="Baskerville"/>
        </w:rPr>
        <w:t xml:space="preserve"> and increasing risk to the financial system. </w:t>
      </w:r>
      <w:r w:rsidR="00872F5B" w:rsidRPr="00F84BEF">
        <w:rPr>
          <w:rFonts w:ascii="Baskerville" w:hAnsi="Baskerville"/>
        </w:rPr>
        <w:t xml:space="preserve">For these reasons, the CMA should clarify that general liquidity support is outside the mission of the FHLBanks. </w:t>
      </w:r>
      <w:r w:rsidR="00666C08" w:rsidRPr="00F84BEF">
        <w:rPr>
          <w:rFonts w:ascii="Baskerville" w:hAnsi="Baskerville"/>
        </w:rPr>
        <w:t xml:space="preserve">That means, among other things, that not all advances should be seen as core </w:t>
      </w:r>
      <w:r w:rsidR="00BD58E3" w:rsidRPr="00F84BEF">
        <w:rPr>
          <w:rFonts w:ascii="Baskerville" w:hAnsi="Baskerville"/>
        </w:rPr>
        <w:t xml:space="preserve">mission activities. </w:t>
      </w:r>
    </w:p>
    <w:p w14:paraId="0C1D9CAA" w14:textId="2B02DF18" w:rsidR="00FA64A5" w:rsidRDefault="0000153F" w:rsidP="00F84BEF">
      <w:pPr>
        <w:spacing w:after="120"/>
        <w:ind w:firstLine="720"/>
        <w:rPr>
          <w:rFonts w:ascii="Baskerville" w:hAnsi="Baskerville"/>
        </w:rPr>
      </w:pPr>
      <w:r>
        <w:rPr>
          <w:rFonts w:ascii="Baskerville" w:hAnsi="Baskerville"/>
        </w:rPr>
        <w:lastRenderedPageBreak/>
        <w:t>As we further explain, a</w:t>
      </w:r>
      <w:r w:rsidR="00872F5B" w:rsidRPr="00F84BEF">
        <w:rPr>
          <w:rFonts w:ascii="Baskerville" w:hAnsi="Baskerville"/>
        </w:rPr>
        <w:t xml:space="preserve">dvances still </w:t>
      </w:r>
      <w:r w:rsidR="001F45F6">
        <w:rPr>
          <w:rFonts w:ascii="Baskerville" w:hAnsi="Baskerville"/>
        </w:rPr>
        <w:t>play</w:t>
      </w:r>
      <w:r w:rsidR="001F45F6" w:rsidRPr="00F84BEF">
        <w:rPr>
          <w:rFonts w:ascii="Baskerville" w:hAnsi="Baskerville"/>
        </w:rPr>
        <w:t xml:space="preserve"> </w:t>
      </w:r>
      <w:r w:rsidR="00872F5B" w:rsidRPr="00F84BEF">
        <w:rPr>
          <w:rFonts w:ascii="Baskerville" w:hAnsi="Baskerville"/>
        </w:rPr>
        <w:t xml:space="preserve">a critical role </w:t>
      </w:r>
      <w:r w:rsidR="001F45F6">
        <w:rPr>
          <w:rFonts w:ascii="Baskerville" w:hAnsi="Baskerville"/>
        </w:rPr>
        <w:t>in promoting access</w:t>
      </w:r>
      <w:r w:rsidR="00872F5B" w:rsidRPr="00F84BEF">
        <w:rPr>
          <w:rFonts w:ascii="Baskerville" w:hAnsi="Baskerville"/>
        </w:rPr>
        <w:t xml:space="preserve"> </w:t>
      </w:r>
      <w:r w:rsidR="00A87DC0" w:rsidRPr="00F84BEF">
        <w:rPr>
          <w:rFonts w:ascii="Baskerville" w:hAnsi="Baskerville"/>
        </w:rPr>
        <w:t xml:space="preserve">to </w:t>
      </w:r>
      <w:r w:rsidR="00FA64A5">
        <w:rPr>
          <w:rFonts w:ascii="Baskerville" w:hAnsi="Baskerville"/>
        </w:rPr>
        <w:t xml:space="preserve">the mortgages </w:t>
      </w:r>
      <w:r w:rsidR="00872F5B" w:rsidRPr="00F84BEF">
        <w:rPr>
          <w:rFonts w:ascii="Baskerville" w:hAnsi="Baskerville"/>
        </w:rPr>
        <w:t>families</w:t>
      </w:r>
      <w:r w:rsidR="00A87DC0" w:rsidRPr="00F84BEF">
        <w:rPr>
          <w:rFonts w:ascii="Baskerville" w:hAnsi="Baskerville"/>
        </w:rPr>
        <w:t xml:space="preserve"> need</w:t>
      </w:r>
      <w:r w:rsidR="00872F5B" w:rsidRPr="00F84BEF">
        <w:rPr>
          <w:rFonts w:ascii="Baskerville" w:hAnsi="Baskerville"/>
        </w:rPr>
        <w:t xml:space="preserve"> to buy homes</w:t>
      </w:r>
      <w:r w:rsidR="00FA64A5">
        <w:rPr>
          <w:rFonts w:ascii="Baskerville" w:hAnsi="Baskerville"/>
        </w:rPr>
        <w:t xml:space="preserve"> and </w:t>
      </w:r>
      <w:r w:rsidR="00A87DC0" w:rsidRPr="00F84BEF">
        <w:rPr>
          <w:rFonts w:ascii="Baskerville" w:hAnsi="Baskerville"/>
        </w:rPr>
        <w:t>the credit</w:t>
      </w:r>
      <w:r w:rsidR="00872F5B" w:rsidRPr="00F84BEF">
        <w:rPr>
          <w:rFonts w:ascii="Baskerville" w:hAnsi="Baskerville"/>
        </w:rPr>
        <w:t xml:space="preserve"> small business</w:t>
      </w:r>
      <w:r w:rsidR="00A87DC0" w:rsidRPr="00F84BEF">
        <w:rPr>
          <w:rFonts w:ascii="Baskerville" w:hAnsi="Baskerville"/>
        </w:rPr>
        <w:t xml:space="preserve"> need</w:t>
      </w:r>
      <w:r w:rsidR="00872F5B" w:rsidRPr="00F84BEF">
        <w:rPr>
          <w:rFonts w:ascii="Baskerville" w:hAnsi="Baskerville"/>
        </w:rPr>
        <w:t xml:space="preserve"> to survive</w:t>
      </w:r>
      <w:r w:rsidR="00FA64A5">
        <w:rPr>
          <w:rFonts w:ascii="Baskerville" w:hAnsi="Baskerville"/>
        </w:rPr>
        <w:t>, and</w:t>
      </w:r>
      <w:r w:rsidR="004E46D6">
        <w:rPr>
          <w:rFonts w:ascii="Baskerville" w:hAnsi="Baskerville"/>
        </w:rPr>
        <w:t xml:space="preserve"> they</w:t>
      </w:r>
      <w:r w:rsidR="00FA64A5">
        <w:rPr>
          <w:rFonts w:ascii="Baskerville" w:hAnsi="Baskerville"/>
        </w:rPr>
        <w:t xml:space="preserve"> can otherwise</w:t>
      </w:r>
      <w:r w:rsidR="00872F5B" w:rsidRPr="00F84BEF">
        <w:rPr>
          <w:rFonts w:ascii="Baskerville" w:hAnsi="Baskerville"/>
        </w:rPr>
        <w:t xml:space="preserve"> </w:t>
      </w:r>
      <w:r w:rsidR="00FA64A5">
        <w:rPr>
          <w:rFonts w:ascii="Baskerville" w:hAnsi="Baskerville"/>
        </w:rPr>
        <w:t>promote</w:t>
      </w:r>
      <w:r w:rsidR="00872F5B" w:rsidRPr="00F84BEF">
        <w:rPr>
          <w:rFonts w:ascii="Baskerville" w:hAnsi="Baskerville"/>
        </w:rPr>
        <w:t xml:space="preserve"> community development aims. </w:t>
      </w:r>
      <w:r>
        <w:rPr>
          <w:rFonts w:ascii="Baskerville" w:hAnsi="Baskerville"/>
        </w:rPr>
        <w:t xml:space="preserve">More creative use of advances to promote those aims should be </w:t>
      </w:r>
      <w:r w:rsidR="00FA64A5">
        <w:rPr>
          <w:rFonts w:ascii="Baskerville" w:hAnsi="Baskerville"/>
        </w:rPr>
        <w:t xml:space="preserve">actively </w:t>
      </w:r>
      <w:r>
        <w:rPr>
          <w:rFonts w:ascii="Baskerville" w:hAnsi="Baskerville"/>
        </w:rPr>
        <w:t>encouraged.</w:t>
      </w:r>
      <w:r w:rsidR="004E46D6">
        <w:rPr>
          <w:rFonts w:ascii="Baskerville" w:hAnsi="Baskerville"/>
        </w:rPr>
        <w:t xml:space="preserve"> I</w:t>
      </w:r>
      <w:r>
        <w:rPr>
          <w:rFonts w:ascii="Baskerville" w:hAnsi="Baskerville"/>
        </w:rPr>
        <w:t>mposing excessively</w:t>
      </w:r>
      <w:r w:rsidR="00872F5B" w:rsidRPr="00F84BEF">
        <w:rPr>
          <w:rFonts w:ascii="Baskerville" w:hAnsi="Baskerville"/>
        </w:rPr>
        <w:t xml:space="preserve"> stringent requirement</w:t>
      </w:r>
      <w:r w:rsidR="000C7DE6">
        <w:rPr>
          <w:rFonts w:ascii="Baskerville" w:hAnsi="Baskerville"/>
        </w:rPr>
        <w:t>s</w:t>
      </w:r>
      <w:r w:rsidR="00872F5B" w:rsidRPr="00F84BEF">
        <w:rPr>
          <w:rFonts w:ascii="Baskerville" w:hAnsi="Baskerville"/>
        </w:rPr>
        <w:t xml:space="preserve"> on financial institution members to show that particular advances are furthering such aims could impede the use of advances even in circumstances when they are likely to serve such aims. </w:t>
      </w:r>
    </w:p>
    <w:p w14:paraId="1B6BF350" w14:textId="2B18EA63" w:rsidR="00F84BEF" w:rsidRDefault="00872F5B" w:rsidP="00F84BEF">
      <w:pPr>
        <w:spacing w:after="120"/>
        <w:ind w:firstLine="720"/>
        <w:rPr>
          <w:rFonts w:ascii="Baskerville" w:hAnsi="Baskerville"/>
        </w:rPr>
      </w:pPr>
      <w:r w:rsidRPr="00F84BEF">
        <w:rPr>
          <w:rFonts w:ascii="Baskerville" w:hAnsi="Baskerville"/>
        </w:rPr>
        <w:t xml:space="preserve">The FHFA </w:t>
      </w:r>
      <w:r w:rsidR="00FA64A5">
        <w:rPr>
          <w:rFonts w:ascii="Baskerville" w:hAnsi="Baskerville"/>
        </w:rPr>
        <w:t>should</w:t>
      </w:r>
      <w:r w:rsidR="00FA64A5" w:rsidRPr="00F84BEF">
        <w:rPr>
          <w:rFonts w:ascii="Baskerville" w:hAnsi="Baskerville"/>
        </w:rPr>
        <w:t xml:space="preserve"> </w:t>
      </w:r>
      <w:r w:rsidR="00F32742" w:rsidRPr="00F84BEF">
        <w:rPr>
          <w:rFonts w:ascii="Baskerville" w:hAnsi="Baskerville"/>
        </w:rPr>
        <w:t xml:space="preserve">use the CMA to </w:t>
      </w:r>
      <w:r w:rsidR="00FA64A5">
        <w:rPr>
          <w:rFonts w:ascii="Baskerville" w:hAnsi="Baskerville"/>
        </w:rPr>
        <w:t>lay out</w:t>
      </w:r>
      <w:r w:rsidR="00FA64A5" w:rsidRPr="00F84BEF">
        <w:rPr>
          <w:rFonts w:ascii="Baskerville" w:hAnsi="Baskerville"/>
        </w:rPr>
        <w:t xml:space="preserve"> </w:t>
      </w:r>
      <w:r w:rsidR="00F32742" w:rsidRPr="00F84BEF">
        <w:rPr>
          <w:rFonts w:ascii="Baskerville" w:hAnsi="Baskerville"/>
        </w:rPr>
        <w:t>a balanced approach</w:t>
      </w:r>
      <w:r w:rsidR="0000153F">
        <w:rPr>
          <w:rFonts w:ascii="Baskerville" w:hAnsi="Baskerville"/>
        </w:rPr>
        <w:t>,</w:t>
      </w:r>
      <w:r w:rsidR="00153C23">
        <w:rPr>
          <w:rFonts w:ascii="Baskerville" w:hAnsi="Baskerville"/>
        </w:rPr>
        <w:t xml:space="preserve"> encouraging broad and creative uses of advances when likely to promote credit creation while making clear that not all advances further such aims. This ma</w:t>
      </w:r>
      <w:r w:rsidR="004E46D6">
        <w:rPr>
          <w:rFonts w:ascii="Baskerville" w:hAnsi="Baskerville"/>
        </w:rPr>
        <w:t>y</w:t>
      </w:r>
      <w:r w:rsidR="00153C23">
        <w:rPr>
          <w:rFonts w:ascii="Baskerville" w:hAnsi="Baskerville"/>
        </w:rPr>
        <w:t xml:space="preserve"> entail</w:t>
      </w:r>
      <w:r w:rsidR="0000153F">
        <w:rPr>
          <w:rFonts w:ascii="Baskerville" w:hAnsi="Baskerville"/>
        </w:rPr>
        <w:t xml:space="preserve"> using proxies when appropriate to increase the probability that advances are being used to further a legitimate aim</w:t>
      </w:r>
      <w:r w:rsidR="00791E3D">
        <w:rPr>
          <w:rFonts w:ascii="Baskerville" w:hAnsi="Baskerville"/>
        </w:rPr>
        <w:t xml:space="preserve">. For example, it may be appropriate to assume that any advances to sufficiently small financial institutions or advances secured by relatively illiquid collateral promote the aims of the FHLBank system. </w:t>
      </w:r>
      <w:r w:rsidR="007263C3">
        <w:rPr>
          <w:rFonts w:ascii="Baskerville" w:hAnsi="Baskerville"/>
        </w:rPr>
        <w:t>E</w:t>
      </w:r>
      <w:r w:rsidR="0000153F">
        <w:rPr>
          <w:rFonts w:ascii="Baskerville" w:hAnsi="Baskerville"/>
        </w:rPr>
        <w:t>stablish</w:t>
      </w:r>
      <w:r w:rsidR="007263C3">
        <w:rPr>
          <w:rFonts w:ascii="Baskerville" w:hAnsi="Baskerville"/>
        </w:rPr>
        <w:t>ing</w:t>
      </w:r>
      <w:r w:rsidR="00F32742" w:rsidRPr="00F84BEF">
        <w:rPr>
          <w:rFonts w:ascii="Baskerville" w:hAnsi="Baskerville"/>
        </w:rPr>
        <w:t xml:space="preserve"> a reasonable nexus between the provision of advances and the housing and community development aims are the only way to justify the myriad public subsidies the FHLBank </w:t>
      </w:r>
      <w:r w:rsidR="001F45F6">
        <w:rPr>
          <w:rFonts w:ascii="Baskerville" w:hAnsi="Baskerville"/>
        </w:rPr>
        <w:t>S</w:t>
      </w:r>
      <w:r w:rsidR="00F32742" w:rsidRPr="00F84BEF">
        <w:rPr>
          <w:rFonts w:ascii="Baskerville" w:hAnsi="Baskerville"/>
        </w:rPr>
        <w:t>ystem enjoys.</w:t>
      </w:r>
      <w:r w:rsidR="0000153F">
        <w:rPr>
          <w:rFonts w:ascii="Baskerville" w:hAnsi="Baskerville"/>
        </w:rPr>
        <w:t xml:space="preserve"> The FHFA could also encourage FHLBanks to reward members via dividends, advance terms</w:t>
      </w:r>
      <w:r w:rsidR="004E46D6">
        <w:rPr>
          <w:rFonts w:ascii="Baskerville" w:hAnsi="Baskerville"/>
        </w:rPr>
        <w:t>,</w:t>
      </w:r>
      <w:r w:rsidR="0000153F">
        <w:rPr>
          <w:rFonts w:ascii="Baskerville" w:hAnsi="Baskerville"/>
        </w:rPr>
        <w:t xml:space="preserve"> or other mechanisms when those members find creative ways to promote the type of lending the FHLBank Act, as amended, implicitly seeks to support.</w:t>
      </w:r>
      <w:r w:rsidR="00FE1EE7">
        <w:rPr>
          <w:rStyle w:val="FootnoteReference"/>
        </w:rPr>
        <w:footnoteReference w:id="2"/>
      </w:r>
      <w:r w:rsidR="00F32742" w:rsidRPr="00F84BEF">
        <w:rPr>
          <w:rFonts w:ascii="Baskerville" w:hAnsi="Baskerville"/>
        </w:rPr>
        <w:t xml:space="preserve"> </w:t>
      </w:r>
      <w:r w:rsidR="00094A50" w:rsidRPr="00F84BEF">
        <w:rPr>
          <w:rFonts w:ascii="Baskerville" w:hAnsi="Baskerville"/>
        </w:rPr>
        <w:t xml:space="preserve">Focusing the mission of the FHLBank </w:t>
      </w:r>
      <w:r w:rsidR="001F45F6">
        <w:rPr>
          <w:rFonts w:ascii="Baskerville" w:hAnsi="Baskerville"/>
        </w:rPr>
        <w:t>S</w:t>
      </w:r>
      <w:r w:rsidR="00094A50" w:rsidRPr="00F84BEF">
        <w:rPr>
          <w:rFonts w:ascii="Baskerville" w:hAnsi="Baskerville"/>
        </w:rPr>
        <w:t xml:space="preserve">ystem on promoting the provision of credit to the </w:t>
      </w:r>
      <w:r w:rsidR="00153C23">
        <w:rPr>
          <w:rFonts w:ascii="Baskerville" w:hAnsi="Baskerville"/>
        </w:rPr>
        <w:t xml:space="preserve">households and businesses that need it </w:t>
      </w:r>
      <w:r w:rsidR="005D09B6" w:rsidRPr="00F84BEF">
        <w:rPr>
          <w:rFonts w:ascii="Baskerville" w:hAnsi="Baskerville"/>
        </w:rPr>
        <w:t xml:space="preserve">and primarily supporting smaller financial institutions </w:t>
      </w:r>
      <w:r w:rsidR="00094A50" w:rsidRPr="00F84BEF">
        <w:rPr>
          <w:rFonts w:ascii="Baskerville" w:hAnsi="Baskerville"/>
        </w:rPr>
        <w:t xml:space="preserve">is the best way to revive the original mission and design of the FHLBank </w:t>
      </w:r>
      <w:r w:rsidR="001F45F6">
        <w:rPr>
          <w:rFonts w:ascii="Baskerville" w:hAnsi="Baskerville"/>
        </w:rPr>
        <w:t>S</w:t>
      </w:r>
      <w:r w:rsidR="00094A50" w:rsidRPr="00F84BEF">
        <w:rPr>
          <w:rFonts w:ascii="Baskerville" w:hAnsi="Baskerville"/>
        </w:rPr>
        <w:t>ystem.</w:t>
      </w:r>
    </w:p>
    <w:p w14:paraId="17620806" w14:textId="77777777" w:rsidR="0050328F" w:rsidRPr="00F84BEF" w:rsidRDefault="002D4BE0" w:rsidP="00406992">
      <w:pPr>
        <w:spacing w:after="120"/>
        <w:ind w:firstLine="720"/>
        <w:rPr>
          <w:rFonts w:ascii="Baskerville" w:hAnsi="Baskerville"/>
        </w:rPr>
      </w:pPr>
      <w:r w:rsidRPr="00F84BEF">
        <w:rPr>
          <w:rFonts w:ascii="Baskerville" w:hAnsi="Baskerville"/>
          <w:b/>
          <w:bCs/>
        </w:rPr>
        <w:t xml:space="preserve">Liquidity Provisioning: </w:t>
      </w:r>
      <w:r w:rsidR="009E78F5" w:rsidRPr="00F84BEF">
        <w:rPr>
          <w:rFonts w:ascii="Baskerville" w:hAnsi="Baskerville"/>
          <w:b/>
          <w:bCs/>
        </w:rPr>
        <w:t>T</w:t>
      </w:r>
      <w:r w:rsidRPr="00F84BEF">
        <w:rPr>
          <w:rFonts w:ascii="Baskerville" w:hAnsi="Baskerville"/>
          <w:b/>
          <w:bCs/>
        </w:rPr>
        <w:t>he Fed and the FHLBanks</w:t>
      </w:r>
    </w:p>
    <w:p w14:paraId="26DA9E5B" w14:textId="26E546EB" w:rsidR="002D4BE0" w:rsidRPr="00F84BEF" w:rsidRDefault="002D4BE0" w:rsidP="00F84BEF">
      <w:pPr>
        <w:spacing w:after="120"/>
        <w:ind w:firstLine="720"/>
        <w:rPr>
          <w:rFonts w:ascii="Baskerville" w:hAnsi="Baskerville"/>
        </w:rPr>
      </w:pPr>
      <w:r w:rsidRPr="00F84BEF">
        <w:rPr>
          <w:rFonts w:ascii="Baskerville" w:hAnsi="Baskerville"/>
        </w:rPr>
        <w:t>S</w:t>
      </w:r>
      <w:r w:rsidR="001F45F6">
        <w:rPr>
          <w:rFonts w:ascii="Baskerville" w:hAnsi="Baskerville"/>
        </w:rPr>
        <w:t xml:space="preserve">ilicon </w:t>
      </w:r>
      <w:r w:rsidRPr="00F84BEF">
        <w:rPr>
          <w:rFonts w:ascii="Baskerville" w:hAnsi="Baskerville"/>
        </w:rPr>
        <w:t>V</w:t>
      </w:r>
      <w:r w:rsidR="001F45F6">
        <w:rPr>
          <w:rFonts w:ascii="Baskerville" w:hAnsi="Baskerville"/>
        </w:rPr>
        <w:t xml:space="preserve">alley </w:t>
      </w:r>
      <w:r w:rsidRPr="00F84BEF">
        <w:rPr>
          <w:rFonts w:ascii="Baskerville" w:hAnsi="Baskerville"/>
        </w:rPr>
        <w:t>B</w:t>
      </w:r>
      <w:r w:rsidR="001F45F6">
        <w:rPr>
          <w:rFonts w:ascii="Baskerville" w:hAnsi="Baskerville"/>
        </w:rPr>
        <w:t>ank (SVB)</w:t>
      </w:r>
      <w:r w:rsidRPr="00F84BEF">
        <w:rPr>
          <w:rFonts w:ascii="Baskerville" w:hAnsi="Baskerville"/>
        </w:rPr>
        <w:t>, Signature</w:t>
      </w:r>
      <w:r w:rsidR="004E46D6">
        <w:rPr>
          <w:rFonts w:ascii="Baskerville" w:hAnsi="Baskerville"/>
        </w:rPr>
        <w:t>,</w:t>
      </w:r>
      <w:r w:rsidRPr="00F84BEF">
        <w:rPr>
          <w:rFonts w:ascii="Baskerville" w:hAnsi="Baskerville"/>
        </w:rPr>
        <w:t xml:space="preserve"> and First Republic all borrowed heavily from their local FHLBank before going under </w:t>
      </w:r>
      <w:r w:rsidR="009E78F5" w:rsidRPr="00F84BEF">
        <w:rPr>
          <w:rFonts w:ascii="Baskerville" w:hAnsi="Baskerville"/>
        </w:rPr>
        <w:t>in the</w:t>
      </w:r>
      <w:r w:rsidRPr="00F84BEF">
        <w:rPr>
          <w:rFonts w:ascii="Baskerville" w:hAnsi="Baskerville"/>
        </w:rPr>
        <w:t xml:space="preserve"> spring</w:t>
      </w:r>
      <w:r w:rsidR="009E78F5" w:rsidRPr="00F84BEF">
        <w:rPr>
          <w:rFonts w:ascii="Baskerville" w:hAnsi="Baskerville"/>
        </w:rPr>
        <w:t xml:space="preserve"> of 2023</w:t>
      </w:r>
      <w:r w:rsidRPr="00F84BEF">
        <w:rPr>
          <w:rFonts w:ascii="Baskerville" w:hAnsi="Baskerville"/>
        </w:rPr>
        <w:t>. SVB, for example, went from having almost no loans outstanding at the end of 2021 to being the biggest single borrower from the FHLBank of San Francisco at the end of 2022. By that time, it had $15 billion in loans outstanding, 17 percent of FHLBank of San Francisco’s total outstanding advances.</w:t>
      </w:r>
      <w:r w:rsidRPr="00406992">
        <w:rPr>
          <w:rStyle w:val="FootnoteReference"/>
        </w:rPr>
        <w:footnoteReference w:id="3"/>
      </w:r>
      <w:r w:rsidRPr="00F84BEF">
        <w:rPr>
          <w:rFonts w:ascii="Baskerville" w:hAnsi="Baskerville"/>
        </w:rPr>
        <w:t xml:space="preserve"> The second biggest borrower from the FHLBank of San Francisco at the end of 2022</w:t>
      </w:r>
      <w:r w:rsidR="004E46D6">
        <w:rPr>
          <w:rFonts w:ascii="Baskerville" w:hAnsi="Baskerville"/>
        </w:rPr>
        <w:t xml:space="preserve"> was</w:t>
      </w:r>
      <w:r w:rsidRPr="00F84BEF">
        <w:rPr>
          <w:rFonts w:ascii="Baskerville" w:hAnsi="Baskerville"/>
        </w:rPr>
        <w:t xml:space="preserve"> First Republic Bank, with $14 billion, constituting 16 percent of the FHLBank’s outstanding advances.</w:t>
      </w:r>
      <w:r w:rsidRPr="00406992">
        <w:rPr>
          <w:rStyle w:val="FootnoteReference"/>
        </w:rPr>
        <w:footnoteReference w:id="4"/>
      </w:r>
      <w:r w:rsidRPr="00F84BEF">
        <w:rPr>
          <w:rFonts w:ascii="Baskerville" w:hAnsi="Baskerville"/>
        </w:rPr>
        <w:t xml:space="preserve"> This is not a new pattern. W</w:t>
      </w:r>
      <w:r w:rsidR="001F45F6">
        <w:rPr>
          <w:rFonts w:ascii="Baskerville" w:hAnsi="Baskerville"/>
        </w:rPr>
        <w:t xml:space="preserve">ashington </w:t>
      </w:r>
      <w:r w:rsidRPr="00F84BEF">
        <w:rPr>
          <w:rFonts w:ascii="Baskerville" w:hAnsi="Baskerville"/>
        </w:rPr>
        <w:t>Mu</w:t>
      </w:r>
      <w:r w:rsidR="001F45F6">
        <w:rPr>
          <w:rFonts w:ascii="Baskerville" w:hAnsi="Baskerville"/>
        </w:rPr>
        <w:t>tual</w:t>
      </w:r>
      <w:r w:rsidRPr="00F84BEF">
        <w:rPr>
          <w:rFonts w:ascii="Baskerville" w:hAnsi="Baskerville"/>
        </w:rPr>
        <w:t>, IndyMac, Countrywide and other banks that failed or merged to avert failure during the 2007-2009 financial crisis took the same course.</w:t>
      </w:r>
      <w:r w:rsidRPr="00406992">
        <w:rPr>
          <w:rStyle w:val="FootnoteReference"/>
        </w:rPr>
        <w:footnoteReference w:id="5"/>
      </w:r>
      <w:r w:rsidRPr="00F84BEF">
        <w:rPr>
          <w:rFonts w:ascii="Baskerville" w:hAnsi="Baskerville"/>
        </w:rPr>
        <w:t xml:space="preserve"> </w:t>
      </w:r>
      <w:r w:rsidRPr="00B21739">
        <w:rPr>
          <w:rFonts w:ascii="Baskerville" w:hAnsi="Baskerville"/>
        </w:rPr>
        <w:t xml:space="preserve">And going back to the savings and loan </w:t>
      </w:r>
      <w:r w:rsidR="001F45F6" w:rsidRPr="00B21739">
        <w:rPr>
          <w:rFonts w:ascii="Baskerville" w:hAnsi="Baskerville"/>
        </w:rPr>
        <w:t xml:space="preserve">(S&amp;L) </w:t>
      </w:r>
      <w:r w:rsidRPr="00B21739">
        <w:rPr>
          <w:rFonts w:ascii="Baskerville" w:hAnsi="Baskerville"/>
        </w:rPr>
        <w:t>crisis</w:t>
      </w:r>
      <w:r w:rsidR="001F45F6" w:rsidRPr="00B21739">
        <w:rPr>
          <w:rFonts w:ascii="Baskerville" w:hAnsi="Baskerville"/>
        </w:rPr>
        <w:t xml:space="preserve">, </w:t>
      </w:r>
      <w:r w:rsidRPr="00B21739">
        <w:rPr>
          <w:rFonts w:ascii="Baskerville" w:hAnsi="Baskerville"/>
        </w:rPr>
        <w:t>S&amp;Ls that ended up in resolution were far more likely to have borrowed, and typically borrowed far more, from the FHLBanks than their healthy peers.</w:t>
      </w:r>
      <w:r w:rsidRPr="00406992">
        <w:rPr>
          <w:rStyle w:val="FootnoteReference"/>
        </w:rPr>
        <w:footnoteReference w:id="6"/>
      </w:r>
      <w:r w:rsidR="005C606E">
        <w:t xml:space="preserve"> </w:t>
      </w:r>
      <w:r w:rsidRPr="00B21739">
        <w:rPr>
          <w:rFonts w:ascii="Baskerville" w:hAnsi="Baskerville"/>
        </w:rPr>
        <w:t>In</w:t>
      </w:r>
      <w:r w:rsidRPr="00F84BEF">
        <w:rPr>
          <w:rFonts w:ascii="Baskerville" w:hAnsi="Baskerville"/>
        </w:rPr>
        <w:t xml:space="preserve"> each of these instances, troubled financial institutions that probably ought to have been </w:t>
      </w:r>
      <w:r w:rsidRPr="00F84BEF">
        <w:rPr>
          <w:rFonts w:ascii="Baskerville" w:hAnsi="Baskerville"/>
        </w:rPr>
        <w:lastRenderedPageBreak/>
        <w:t xml:space="preserve">closed were able to limp along longer than </w:t>
      </w:r>
      <w:r w:rsidR="001F45F6">
        <w:rPr>
          <w:rFonts w:ascii="Baskerville" w:hAnsi="Baskerville"/>
        </w:rPr>
        <w:t>they should have</w:t>
      </w:r>
      <w:r w:rsidRPr="00F84BEF">
        <w:rPr>
          <w:rFonts w:ascii="Baskerville" w:hAnsi="Baskerville"/>
        </w:rPr>
        <w:t xml:space="preserve"> thanks to fresh liquidity support from the FHLBanks. This is why the FHLBanks are often known as the </w:t>
      </w:r>
      <w:r w:rsidR="004E46D6">
        <w:rPr>
          <w:rFonts w:ascii="Baskerville" w:hAnsi="Baskerville"/>
        </w:rPr>
        <w:t>“</w:t>
      </w:r>
      <w:r w:rsidRPr="00F84BEF">
        <w:rPr>
          <w:rFonts w:ascii="Baskerville" w:hAnsi="Baskerville"/>
        </w:rPr>
        <w:t>lender of next-to-last resort.</w:t>
      </w:r>
      <w:r w:rsidR="004E46D6">
        <w:rPr>
          <w:rFonts w:ascii="Baskerville" w:hAnsi="Baskerville"/>
        </w:rPr>
        <w:t>”</w:t>
      </w:r>
    </w:p>
    <w:p w14:paraId="2BF9CA2C" w14:textId="44DE6104" w:rsidR="002D4BE0" w:rsidRPr="00F84BEF" w:rsidRDefault="002D4BE0" w:rsidP="00F84BEF">
      <w:pPr>
        <w:spacing w:after="120"/>
        <w:ind w:firstLine="720"/>
        <w:rPr>
          <w:rFonts w:ascii="Baskerville" w:hAnsi="Baskerville"/>
        </w:rPr>
      </w:pPr>
      <w:r w:rsidRPr="00F84BEF">
        <w:rPr>
          <w:rFonts w:ascii="Baskerville" w:hAnsi="Baskerville"/>
        </w:rPr>
        <w:t>Yet in contrast to the Fed, the FHLBanks are ill-suited to serve as a lender of last resort. They lack the right incentives, capacity</w:t>
      </w:r>
      <w:r w:rsidR="004E46D6">
        <w:rPr>
          <w:rFonts w:ascii="Baskerville" w:hAnsi="Baskerville"/>
        </w:rPr>
        <w:t>,</w:t>
      </w:r>
      <w:r w:rsidRPr="00F84BEF">
        <w:rPr>
          <w:rFonts w:ascii="Baskerville" w:hAnsi="Baskerville"/>
        </w:rPr>
        <w:t xml:space="preserve"> and accountability mechanisms. Making matters worse, their role mak</w:t>
      </w:r>
      <w:r w:rsidR="001F45F6">
        <w:rPr>
          <w:rFonts w:ascii="Baskerville" w:hAnsi="Baskerville"/>
        </w:rPr>
        <w:t>es</w:t>
      </w:r>
      <w:r w:rsidRPr="00F84BEF">
        <w:rPr>
          <w:rFonts w:ascii="Baskerville" w:hAnsi="Baskerville"/>
        </w:rPr>
        <w:t xml:space="preserve"> it harder for the Fed to know in a timely way just how much stress there is in the banking system</w:t>
      </w:r>
      <w:r w:rsidR="0050328F" w:rsidRPr="00F84BEF">
        <w:rPr>
          <w:rFonts w:ascii="Baskerville" w:hAnsi="Baskerville"/>
        </w:rPr>
        <w:t>. T</w:t>
      </w:r>
      <w:r w:rsidRPr="00F84BEF">
        <w:rPr>
          <w:rFonts w:ascii="Baskerville" w:hAnsi="Baskerville"/>
        </w:rPr>
        <w:t xml:space="preserve">he country would be better off if the Fed, and only the Fed, served as the lender of last resort. </w:t>
      </w:r>
    </w:p>
    <w:p w14:paraId="28CDCDE8" w14:textId="0AE29A57" w:rsidR="0050328F" w:rsidRPr="00F84BEF" w:rsidRDefault="0050328F" w:rsidP="00F84BEF">
      <w:pPr>
        <w:spacing w:after="120"/>
        <w:ind w:firstLine="720"/>
        <w:rPr>
          <w:rFonts w:ascii="Baskerville" w:hAnsi="Baskerville"/>
        </w:rPr>
      </w:pPr>
      <w:r w:rsidRPr="00F84BEF">
        <w:rPr>
          <w:rFonts w:ascii="Baskerville" w:hAnsi="Baskerville"/>
        </w:rPr>
        <w:t xml:space="preserve">To be sure, the FHLBanks historically </w:t>
      </w:r>
      <w:r w:rsidR="001F45F6">
        <w:rPr>
          <w:rFonts w:ascii="Baskerville" w:hAnsi="Baskerville"/>
        </w:rPr>
        <w:t>played</w:t>
      </w:r>
      <w:r w:rsidRPr="00F84BEF">
        <w:rPr>
          <w:rFonts w:ascii="Baskerville" w:hAnsi="Baskerville"/>
        </w:rPr>
        <w:t xml:space="preserve"> an important role to provid</w:t>
      </w:r>
      <w:r w:rsidR="001F45F6">
        <w:rPr>
          <w:rFonts w:ascii="Baskerville" w:hAnsi="Baskerville"/>
        </w:rPr>
        <w:t>ing</w:t>
      </w:r>
      <w:r w:rsidRPr="00F84BEF">
        <w:rPr>
          <w:rFonts w:ascii="Baskerville" w:hAnsi="Baskerville"/>
        </w:rPr>
        <w:t xml:space="preserve"> liquidity. When Herbert Hoover signed the bill creating the FHLBank </w:t>
      </w:r>
      <w:r w:rsidR="001F45F6">
        <w:rPr>
          <w:rFonts w:ascii="Baskerville" w:hAnsi="Baskerville"/>
        </w:rPr>
        <w:t>S</w:t>
      </w:r>
      <w:r w:rsidRPr="00F84BEF">
        <w:rPr>
          <w:rFonts w:ascii="Baskerville" w:hAnsi="Baskerville"/>
        </w:rPr>
        <w:t xml:space="preserve">ystem, he directly analogized </w:t>
      </w:r>
      <w:r w:rsidR="001F45F6">
        <w:rPr>
          <w:rFonts w:ascii="Baskerville" w:hAnsi="Baskerville"/>
        </w:rPr>
        <w:t>it</w:t>
      </w:r>
      <w:r w:rsidRPr="00F84BEF">
        <w:rPr>
          <w:rFonts w:ascii="Baskerville" w:hAnsi="Baskerville"/>
        </w:rPr>
        <w:t xml:space="preserve"> to the Federal Reserve</w:t>
      </w:r>
      <w:r w:rsidR="001F45F6">
        <w:rPr>
          <w:rFonts w:ascii="Baskerville" w:hAnsi="Baskerville"/>
        </w:rPr>
        <w:t xml:space="preserve"> System</w:t>
      </w:r>
      <w:r w:rsidRPr="00F84BEF">
        <w:rPr>
          <w:rFonts w:ascii="Baskerville" w:hAnsi="Baskerville"/>
        </w:rPr>
        <w:t>.</w:t>
      </w:r>
      <w:r w:rsidRPr="00406992">
        <w:rPr>
          <w:rStyle w:val="FootnoteReference"/>
        </w:rPr>
        <w:footnoteReference w:id="7"/>
      </w:r>
      <w:r w:rsidRPr="00F84BEF">
        <w:rPr>
          <w:rFonts w:ascii="Baskerville" w:hAnsi="Baskerville"/>
        </w:rPr>
        <w:t xml:space="preserve"> Although the Fed under-performed during the Great Depression, the Depression made clear that financial institutions that use shorter</w:t>
      </w:r>
      <w:r w:rsidR="004E46D6">
        <w:rPr>
          <w:rFonts w:ascii="Baskerville" w:hAnsi="Baskerville"/>
        </w:rPr>
        <w:t>-</w:t>
      </w:r>
      <w:r w:rsidRPr="00F84BEF">
        <w:rPr>
          <w:rFonts w:ascii="Baskerville" w:hAnsi="Baskerville"/>
        </w:rPr>
        <w:t>term liabilities to fund longer</w:t>
      </w:r>
      <w:r w:rsidR="004E46D6">
        <w:rPr>
          <w:rFonts w:ascii="Baskerville" w:hAnsi="Baskerville"/>
        </w:rPr>
        <w:t>-</w:t>
      </w:r>
      <w:r w:rsidRPr="00F84BEF">
        <w:rPr>
          <w:rFonts w:ascii="Baskerville" w:hAnsi="Baskerville"/>
        </w:rPr>
        <w:t xml:space="preserve">term assets were inherently fragile. By having a central bank or </w:t>
      </w:r>
      <w:r w:rsidR="001F45F6">
        <w:rPr>
          <w:rFonts w:ascii="Baskerville" w:hAnsi="Baskerville"/>
        </w:rPr>
        <w:t>Federal Home Loan</w:t>
      </w:r>
      <w:r w:rsidR="001F45F6" w:rsidRPr="00F84BEF">
        <w:rPr>
          <w:rFonts w:ascii="Baskerville" w:hAnsi="Baskerville"/>
        </w:rPr>
        <w:t xml:space="preserve"> </w:t>
      </w:r>
      <w:r w:rsidRPr="00F84BEF">
        <w:rPr>
          <w:rFonts w:ascii="Baskerville" w:hAnsi="Baskerville"/>
        </w:rPr>
        <w:t xml:space="preserve">bank-to-bank stand ready and willing to make loans to financial institutions during periods of general financial distress, the government can play a critical role </w:t>
      </w:r>
      <w:r w:rsidR="004E46D6">
        <w:rPr>
          <w:rFonts w:ascii="Baskerville" w:hAnsi="Baskerville"/>
        </w:rPr>
        <w:t xml:space="preserve">in </w:t>
      </w:r>
      <w:r w:rsidRPr="00F84BEF">
        <w:rPr>
          <w:rFonts w:ascii="Baskerville" w:hAnsi="Baskerville"/>
        </w:rPr>
        <w:t>helping to promote the resilience of individual financial institutions and the health of the broader financial system they constitute. And back in 1932, when the FHLBanks were created, savings and loan institutions, building associations</w:t>
      </w:r>
      <w:r w:rsidR="001F45F6">
        <w:rPr>
          <w:rFonts w:ascii="Baskerville" w:hAnsi="Baskerville"/>
        </w:rPr>
        <w:t>,</w:t>
      </w:r>
      <w:r w:rsidRPr="00F84BEF">
        <w:rPr>
          <w:rFonts w:ascii="Baskerville" w:hAnsi="Baskerville"/>
        </w:rPr>
        <w:t xml:space="preserve"> and other types of thrifts lacked any direct access to the Fed’s discount window.</w:t>
      </w:r>
      <w:r w:rsidR="00032120">
        <w:rPr>
          <w:rStyle w:val="FootnoteReference"/>
        </w:rPr>
        <w:footnoteReference w:id="8"/>
      </w:r>
      <w:r w:rsidRPr="00F84BEF">
        <w:rPr>
          <w:rFonts w:ascii="Baskerville" w:hAnsi="Baskerville"/>
        </w:rPr>
        <w:t xml:space="preserve"> Adding to the challenges in housing finance, the Fed at that point in time, did not accept mortgages as collateral.</w:t>
      </w:r>
      <w:r w:rsidR="000F4E5A">
        <w:rPr>
          <w:rStyle w:val="FootnoteReference"/>
        </w:rPr>
        <w:footnoteReference w:id="9"/>
      </w:r>
      <w:r w:rsidRPr="00F84BEF">
        <w:rPr>
          <w:rFonts w:ascii="Baskerville" w:hAnsi="Baskerville"/>
        </w:rPr>
        <w:t xml:space="preserve"> Against this background, it made good sense for general liquidity support to be among the roles played by the FHLBank system. </w:t>
      </w:r>
    </w:p>
    <w:p w14:paraId="7A61018A" w14:textId="01B5DA15" w:rsidR="0050328F" w:rsidRPr="00F84BEF" w:rsidRDefault="0050328F" w:rsidP="00F84BEF">
      <w:pPr>
        <w:spacing w:after="120"/>
        <w:ind w:firstLine="720"/>
        <w:rPr>
          <w:rFonts w:ascii="Baskerville" w:hAnsi="Baskerville"/>
        </w:rPr>
      </w:pPr>
      <w:r w:rsidRPr="00F84BEF">
        <w:rPr>
          <w:rFonts w:ascii="Baskerville" w:hAnsi="Baskerville"/>
        </w:rPr>
        <w:t>These background conditions that helped justify having the FHLBanks provid</w:t>
      </w:r>
      <w:r w:rsidR="001F45F6">
        <w:rPr>
          <w:rFonts w:ascii="Baskerville" w:hAnsi="Baskerville"/>
        </w:rPr>
        <w:t>e</w:t>
      </w:r>
      <w:r w:rsidRPr="00F84BEF">
        <w:rPr>
          <w:rFonts w:ascii="Baskerville" w:hAnsi="Baskerville"/>
        </w:rPr>
        <w:t xml:space="preserve"> general liquidity to member financial institutions no longer hold, however. FHLBank membership has expanded significantly to encompass banks alongside thrifts and insurance companies. The FHLBank members that engage in meaningful maturity transformation</w:t>
      </w:r>
      <w:r w:rsidR="000C0E2B">
        <w:rPr>
          <w:rFonts w:ascii="Baskerville" w:hAnsi="Baskerville"/>
        </w:rPr>
        <w:t>—</w:t>
      </w:r>
      <w:r w:rsidRPr="00F84BEF">
        <w:rPr>
          <w:rFonts w:ascii="Baskerville" w:hAnsi="Baskerville"/>
        </w:rPr>
        <w:t>banks and thrifts</w:t>
      </w:r>
      <w:r w:rsidR="000C0E2B">
        <w:rPr>
          <w:rFonts w:ascii="Baskerville" w:hAnsi="Baskerville"/>
        </w:rPr>
        <w:t>—</w:t>
      </w:r>
      <w:r w:rsidRPr="00F84BEF">
        <w:rPr>
          <w:rFonts w:ascii="Baskerville" w:hAnsi="Baskerville"/>
        </w:rPr>
        <w:t>all have access to the Fed’s discount window.</w:t>
      </w:r>
      <w:r w:rsidR="00956785">
        <w:rPr>
          <w:rStyle w:val="FootnoteReference"/>
        </w:rPr>
        <w:footnoteReference w:id="10"/>
      </w:r>
      <w:r w:rsidRPr="00F84BEF">
        <w:rPr>
          <w:rFonts w:ascii="Baskerville" w:hAnsi="Baskerville"/>
        </w:rPr>
        <w:t xml:space="preserve"> And the collateral that a member financial institution can use to obtain fresh liquidity from the FHLBank </w:t>
      </w:r>
      <w:r w:rsidR="001F45F6">
        <w:rPr>
          <w:rFonts w:ascii="Baskerville" w:hAnsi="Baskerville"/>
        </w:rPr>
        <w:t>S</w:t>
      </w:r>
      <w:r w:rsidRPr="00F84BEF">
        <w:rPr>
          <w:rFonts w:ascii="Baskerville" w:hAnsi="Baskerville"/>
        </w:rPr>
        <w:t xml:space="preserve">ystem can now also be used by that financial institution to obtain fresh liquidity from the Fed, an institution that is far better situated to serve as the nation’s lender of last resort. </w:t>
      </w:r>
    </w:p>
    <w:p w14:paraId="7684F72D" w14:textId="77777777" w:rsidR="0050328F" w:rsidRPr="00F84BEF" w:rsidRDefault="007414D0" w:rsidP="00F84BEF">
      <w:pPr>
        <w:spacing w:after="120"/>
        <w:ind w:firstLine="720"/>
        <w:rPr>
          <w:rFonts w:ascii="Baskerville" w:hAnsi="Baskerville"/>
          <w:b/>
          <w:bCs/>
        </w:rPr>
      </w:pPr>
      <w:r w:rsidRPr="00F84BEF">
        <w:rPr>
          <w:rFonts w:ascii="Baskerville" w:hAnsi="Baskerville"/>
          <w:b/>
          <w:bCs/>
        </w:rPr>
        <w:t xml:space="preserve">Wrong </w:t>
      </w:r>
      <w:r w:rsidR="0050328F" w:rsidRPr="00F84BEF">
        <w:rPr>
          <w:rFonts w:ascii="Baskerville" w:hAnsi="Baskerville"/>
          <w:b/>
          <w:bCs/>
        </w:rPr>
        <w:t>Incentive</w:t>
      </w:r>
      <w:r w:rsidRPr="00F84BEF">
        <w:rPr>
          <w:rFonts w:ascii="Baskerville" w:hAnsi="Baskerville"/>
          <w:b/>
          <w:bCs/>
        </w:rPr>
        <w:t>s</w:t>
      </w:r>
      <w:r w:rsidR="0050328F" w:rsidRPr="00F84BEF">
        <w:rPr>
          <w:rFonts w:ascii="Baskerville" w:hAnsi="Baskerville"/>
          <w:b/>
          <w:bCs/>
        </w:rPr>
        <w:t xml:space="preserve"> </w:t>
      </w:r>
    </w:p>
    <w:p w14:paraId="660B76B3" w14:textId="387C0EB4" w:rsidR="002D4BE0" w:rsidRPr="00F84BEF" w:rsidRDefault="002D4BE0" w:rsidP="00F84BEF">
      <w:pPr>
        <w:spacing w:after="120"/>
        <w:ind w:firstLine="720"/>
        <w:rPr>
          <w:rFonts w:ascii="Baskerville" w:hAnsi="Baskerville"/>
        </w:rPr>
      </w:pPr>
      <w:r w:rsidRPr="00F84BEF">
        <w:rPr>
          <w:rFonts w:ascii="Baskerville" w:hAnsi="Baskerville"/>
        </w:rPr>
        <w:t>One reason the FHLBanks keep loaning money to troubled banks is that in every instance, the FHLBanks that made those loans were repaid in full. SVB</w:t>
      </w:r>
      <w:r w:rsidR="000C0E2B">
        <w:rPr>
          <w:rFonts w:ascii="Baskerville" w:hAnsi="Baskerville"/>
        </w:rPr>
        <w:t>’s</w:t>
      </w:r>
      <w:r w:rsidRPr="00F84BEF">
        <w:rPr>
          <w:rFonts w:ascii="Baskerville" w:hAnsi="Baskerville"/>
        </w:rPr>
        <w:t xml:space="preserve"> fail</w:t>
      </w:r>
      <w:r w:rsidR="001F45F6">
        <w:rPr>
          <w:rFonts w:ascii="Baskerville" w:hAnsi="Baskerville"/>
        </w:rPr>
        <w:t>ure</w:t>
      </w:r>
      <w:r w:rsidRPr="00F84BEF">
        <w:rPr>
          <w:rFonts w:ascii="Baskerville" w:hAnsi="Baskerville"/>
        </w:rPr>
        <w:t>, for example, cost the Deposit Insurance Fund more than $16 billion.</w:t>
      </w:r>
      <w:r w:rsidRPr="00CC3A07">
        <w:rPr>
          <w:rStyle w:val="FootnoteReference"/>
        </w:rPr>
        <w:footnoteReference w:id="11"/>
      </w:r>
      <w:r w:rsidRPr="00F84BEF">
        <w:rPr>
          <w:rFonts w:ascii="Baskerville" w:hAnsi="Baskerville"/>
        </w:rPr>
        <w:t xml:space="preserve"> That amount will have </w:t>
      </w:r>
      <w:r w:rsidR="0050328F" w:rsidRPr="00F84BEF">
        <w:rPr>
          <w:rFonts w:ascii="Baskerville" w:hAnsi="Baskerville"/>
        </w:rPr>
        <w:t xml:space="preserve">to </w:t>
      </w:r>
      <w:r w:rsidRPr="00F84BEF">
        <w:rPr>
          <w:rFonts w:ascii="Baskerville" w:hAnsi="Baskerville"/>
        </w:rPr>
        <w:t xml:space="preserve">be </w:t>
      </w:r>
      <w:r w:rsidRPr="00F84BEF">
        <w:rPr>
          <w:rFonts w:ascii="Baskerville" w:hAnsi="Baskerville"/>
        </w:rPr>
        <w:lastRenderedPageBreak/>
        <w:t>replenished by imposing a special assessment on healthy banks that were more prudent in their risk management. Non</w:t>
      </w:r>
      <w:r w:rsidR="00B33E9B" w:rsidRPr="00F84BEF">
        <w:rPr>
          <w:rFonts w:ascii="Baskerville" w:hAnsi="Baskerville"/>
        </w:rPr>
        <w:t>e</w:t>
      </w:r>
      <w:r w:rsidRPr="00F84BEF">
        <w:rPr>
          <w:rFonts w:ascii="Baskerville" w:hAnsi="Baskerville"/>
        </w:rPr>
        <w:t xml:space="preserve">theless, the FHLBank of San Francisco which loaned </w:t>
      </w:r>
      <w:r w:rsidR="00831A0B" w:rsidRPr="00F84BEF">
        <w:rPr>
          <w:rFonts w:ascii="Baskerville" w:hAnsi="Baskerville"/>
        </w:rPr>
        <w:t>$30</w:t>
      </w:r>
      <w:r w:rsidRPr="00F84BEF">
        <w:rPr>
          <w:rFonts w:ascii="Baskerville" w:hAnsi="Baskerville"/>
        </w:rPr>
        <w:t xml:space="preserve"> billion to SVB in the fifteen months prior to its failure got paid back in full.</w:t>
      </w:r>
      <w:r w:rsidR="00643C90" w:rsidRPr="00F84BEF">
        <w:rPr>
          <w:rStyle w:val="FootnoteReference"/>
        </w:rPr>
        <w:footnoteReference w:id="12"/>
      </w:r>
      <w:r w:rsidRPr="00F84BEF">
        <w:rPr>
          <w:rFonts w:ascii="Baskerville" w:hAnsi="Baskerville"/>
        </w:rPr>
        <w:t xml:space="preserve"> </w:t>
      </w:r>
      <w:r w:rsidR="0050328F" w:rsidRPr="00F84BEF">
        <w:rPr>
          <w:rFonts w:ascii="Baskerville" w:hAnsi="Baskerville"/>
        </w:rPr>
        <w:t xml:space="preserve">It even earned an extra $285 million as a result of prepayment penalties it imposed when the loans it had made to SVB were paid back early, </w:t>
      </w:r>
      <w:r w:rsidR="000C0E2B">
        <w:rPr>
          <w:rFonts w:ascii="Baskerville" w:hAnsi="Baskerville"/>
        </w:rPr>
        <w:t>adding</w:t>
      </w:r>
      <w:r w:rsidR="0050328F" w:rsidRPr="00F84BEF">
        <w:rPr>
          <w:rFonts w:ascii="Baskerville" w:hAnsi="Baskerville"/>
        </w:rPr>
        <w:t xml:space="preserve"> costs to the Deposit Insurance Fund.</w:t>
      </w:r>
      <w:r w:rsidR="00831A0B" w:rsidRPr="00F84BEF">
        <w:rPr>
          <w:rStyle w:val="FootnoteReference"/>
        </w:rPr>
        <w:footnoteReference w:id="13"/>
      </w:r>
    </w:p>
    <w:p w14:paraId="60D5ACE2" w14:textId="3DE093EC" w:rsidR="002D4BE0" w:rsidRDefault="002D4BE0" w:rsidP="00F84BEF">
      <w:pPr>
        <w:spacing w:after="120"/>
        <w:ind w:firstLine="720"/>
        <w:rPr>
          <w:rFonts w:ascii="Baskerville" w:hAnsi="Baskerville"/>
        </w:rPr>
      </w:pPr>
      <w:r w:rsidRPr="00F84BEF">
        <w:rPr>
          <w:rFonts w:ascii="Baskerville" w:hAnsi="Baskerville"/>
        </w:rPr>
        <w:t>More generally, the FHLBanks internalize none of the costs that a bank failure imposes on the Deposit Insurance Fund, other banks</w:t>
      </w:r>
      <w:r w:rsidR="000C0E2B">
        <w:rPr>
          <w:rFonts w:ascii="Baskerville" w:hAnsi="Baskerville"/>
        </w:rPr>
        <w:t>,</w:t>
      </w:r>
      <w:r w:rsidRPr="00F84BEF">
        <w:rPr>
          <w:rFonts w:ascii="Baskerville" w:hAnsi="Baskerville"/>
        </w:rPr>
        <w:t xml:space="preserve"> and, often, the economy more generally. They always get repaid in full. This </w:t>
      </w:r>
      <w:r w:rsidR="0050328F" w:rsidRPr="00F84BEF">
        <w:rPr>
          <w:rFonts w:ascii="Baskerville" w:hAnsi="Baskerville"/>
        </w:rPr>
        <w:t xml:space="preserve">is </w:t>
      </w:r>
      <w:r w:rsidRPr="00F84BEF">
        <w:rPr>
          <w:rFonts w:ascii="Baskerville" w:hAnsi="Baskerville"/>
        </w:rPr>
        <w:t>primarily because the FHLBanks demand excess collateral and often blanket liens when making loans, buttressed by a statutory “super-lien.”</w:t>
      </w:r>
      <w:r w:rsidR="00D46267">
        <w:rPr>
          <w:rStyle w:val="FootnoteReference"/>
        </w:rPr>
        <w:footnoteReference w:id="14"/>
      </w:r>
      <w:r w:rsidRPr="00F84BEF">
        <w:rPr>
          <w:rFonts w:ascii="Baskerville" w:hAnsi="Baskerville"/>
        </w:rPr>
        <w:t xml:space="preserve"> These features ensur</w:t>
      </w:r>
      <w:r w:rsidR="0050328F" w:rsidRPr="00F84BEF">
        <w:rPr>
          <w:rFonts w:ascii="Baskerville" w:hAnsi="Baskerville"/>
        </w:rPr>
        <w:t>e</w:t>
      </w:r>
      <w:r w:rsidRPr="00F84BEF">
        <w:rPr>
          <w:rFonts w:ascii="Baskerville" w:hAnsi="Baskerville"/>
        </w:rPr>
        <w:t xml:space="preserve"> </w:t>
      </w:r>
      <w:r w:rsidR="008D6448">
        <w:rPr>
          <w:rFonts w:ascii="Baskerville" w:hAnsi="Baskerville"/>
        </w:rPr>
        <w:t>FHLBanks</w:t>
      </w:r>
      <w:r w:rsidR="008D6448" w:rsidRPr="00F84BEF">
        <w:rPr>
          <w:rFonts w:ascii="Baskerville" w:hAnsi="Baskerville"/>
        </w:rPr>
        <w:t xml:space="preserve"> </w:t>
      </w:r>
      <w:r w:rsidRPr="00F84BEF">
        <w:rPr>
          <w:rFonts w:ascii="Baskerville" w:hAnsi="Baskerville"/>
        </w:rPr>
        <w:t xml:space="preserve">are paid in full before depositors—including the </w:t>
      </w:r>
      <w:r w:rsidR="008D6448">
        <w:rPr>
          <w:rFonts w:ascii="Baskerville" w:hAnsi="Baskerville"/>
        </w:rPr>
        <w:t xml:space="preserve">FDIC’s </w:t>
      </w:r>
      <w:r w:rsidRPr="00F84BEF">
        <w:rPr>
          <w:rFonts w:ascii="Baskerville" w:hAnsi="Baskerville"/>
        </w:rPr>
        <w:t xml:space="preserve">Deposit Insurance Fund </w:t>
      </w:r>
      <w:r w:rsidR="008D6448">
        <w:rPr>
          <w:rFonts w:ascii="Baskerville" w:hAnsi="Baskerville"/>
        </w:rPr>
        <w:t>that protects</w:t>
      </w:r>
      <w:r w:rsidRPr="00F84BEF">
        <w:rPr>
          <w:rFonts w:ascii="Baskerville" w:hAnsi="Baskerville"/>
        </w:rPr>
        <w:t xml:space="preserve"> insured depositors—see a dime. As a result, they </w:t>
      </w:r>
      <w:r w:rsidR="001F45F6">
        <w:rPr>
          <w:rFonts w:ascii="Baskerville" w:hAnsi="Baskerville"/>
        </w:rPr>
        <w:t>lack</w:t>
      </w:r>
      <w:r w:rsidRPr="00F84BEF">
        <w:rPr>
          <w:rFonts w:ascii="Baskerville" w:hAnsi="Baskerville"/>
        </w:rPr>
        <w:t xml:space="preserve"> incentive to ensure they only provide fresh liquidity to solvent banks—a core tenet that has guided central banks in their roles as lenders</w:t>
      </w:r>
      <w:r w:rsidR="000C0E2B">
        <w:rPr>
          <w:rFonts w:ascii="Baskerville" w:hAnsi="Baskerville"/>
        </w:rPr>
        <w:t xml:space="preserve"> </w:t>
      </w:r>
      <w:r w:rsidRPr="00F84BEF">
        <w:rPr>
          <w:rFonts w:ascii="Baskerville" w:hAnsi="Baskerville"/>
        </w:rPr>
        <w:t>of</w:t>
      </w:r>
      <w:r w:rsidR="000C0E2B">
        <w:rPr>
          <w:rFonts w:ascii="Baskerville" w:hAnsi="Baskerville"/>
        </w:rPr>
        <w:t xml:space="preserve"> </w:t>
      </w:r>
      <w:r w:rsidRPr="00F84BEF">
        <w:rPr>
          <w:rFonts w:ascii="Baskerville" w:hAnsi="Baskerville"/>
        </w:rPr>
        <w:t>last resort since 1873.</w:t>
      </w:r>
      <w:r w:rsidRPr="00406992">
        <w:rPr>
          <w:rStyle w:val="FootnoteReference"/>
        </w:rPr>
        <w:footnoteReference w:id="15"/>
      </w:r>
      <w:r w:rsidRPr="00F84BEF">
        <w:rPr>
          <w:rFonts w:ascii="Baskerville" w:hAnsi="Baskerville"/>
        </w:rPr>
        <w:t xml:space="preserve"> </w:t>
      </w:r>
      <w:r w:rsidR="00643C90" w:rsidRPr="00F84BEF">
        <w:rPr>
          <w:rFonts w:ascii="Baskerville" w:hAnsi="Baskerville"/>
        </w:rPr>
        <w:t xml:space="preserve">The FHFA thoughtfully recognized this challenge in its </w:t>
      </w:r>
      <w:hyperlink r:id="rId10" w:history="1">
        <w:r w:rsidR="00643C90" w:rsidRPr="002110B3">
          <w:rPr>
            <w:rStyle w:val="Hyperlink"/>
            <w:rFonts w:ascii="Baskerville" w:hAnsi="Baskerville"/>
          </w:rPr>
          <w:t>System at 100 Report</w:t>
        </w:r>
      </w:hyperlink>
      <w:r w:rsidR="00643C90" w:rsidRPr="00F84BEF">
        <w:rPr>
          <w:rFonts w:ascii="Baskerville" w:hAnsi="Baskerville"/>
        </w:rPr>
        <w:t xml:space="preserve">, but so long as the FHLBanks are shielded from losses, there is little reason to think that this </w:t>
      </w:r>
      <w:r w:rsidR="001F45F6">
        <w:rPr>
          <w:rFonts w:ascii="Baskerville" w:hAnsi="Baskerville"/>
        </w:rPr>
        <w:t xml:space="preserve">problem </w:t>
      </w:r>
      <w:r w:rsidR="00643C90" w:rsidRPr="00F84BEF">
        <w:rPr>
          <w:rFonts w:ascii="Baskerville" w:hAnsi="Baskerville"/>
        </w:rPr>
        <w:t xml:space="preserve">can easily be </w:t>
      </w:r>
      <w:r w:rsidR="001F45F6">
        <w:rPr>
          <w:rFonts w:ascii="Baskerville" w:hAnsi="Baskerville"/>
        </w:rPr>
        <w:t>mitigated</w:t>
      </w:r>
      <w:r w:rsidR="00643C90" w:rsidRPr="00F84BEF">
        <w:rPr>
          <w:rFonts w:ascii="Baskerville" w:hAnsi="Baskerville"/>
        </w:rPr>
        <w:t xml:space="preserve">. This is particularly the case given that, in contrast to the Fed, the FHLBanks have no internal supervisory capacity. </w:t>
      </w:r>
    </w:p>
    <w:p w14:paraId="4AAF4241" w14:textId="4D5FD6F5" w:rsidR="00BB784C" w:rsidRDefault="00BB784C" w:rsidP="00F84BEF">
      <w:pPr>
        <w:spacing w:after="120"/>
        <w:ind w:firstLine="720"/>
        <w:rPr>
          <w:rFonts w:ascii="Baskerville" w:hAnsi="Baskerville"/>
        </w:rPr>
      </w:pPr>
      <w:r>
        <w:rPr>
          <w:rFonts w:ascii="Baskerville" w:hAnsi="Baskerville"/>
        </w:rPr>
        <w:t xml:space="preserve">The ability of a commercial bank to </w:t>
      </w:r>
      <w:r w:rsidR="000C0E2B">
        <w:rPr>
          <w:rFonts w:ascii="Baskerville" w:hAnsi="Baskerville"/>
        </w:rPr>
        <w:t xml:space="preserve">become </w:t>
      </w:r>
      <w:r>
        <w:rPr>
          <w:rFonts w:ascii="Baskerville" w:hAnsi="Baskerville"/>
        </w:rPr>
        <w:t>a member of multiple FHLBanks is another problem that creates incentives between the FHLBanks to compete with each other in a race to laxity on advances. The FHLB system was designed in an era where multi-state banking was not allowable, hence multi-district FHLB membership was not realistic. The removal of inter-state restrictions in the 1990s coupled with massive consolidation has led to an era when almost all of the largest and many of the larger banks are or have the potential to be members of multiple FHLBanks. This creates the potential for banks to arbitrage other FHLBanks against each other in competing for advance business.</w:t>
      </w:r>
      <w:r w:rsidR="0034196A">
        <w:rPr>
          <w:rFonts w:ascii="Baskerville" w:hAnsi="Baskerville"/>
        </w:rPr>
        <w:t xml:space="preserve"> Even if banks choose to functionally concentrate advances in one FHLBank</w:t>
      </w:r>
      <w:r w:rsidR="002B15AA">
        <w:rPr>
          <w:rFonts w:ascii="Baskerville" w:hAnsi="Baskerville"/>
        </w:rPr>
        <w:t>,</w:t>
      </w:r>
      <w:r w:rsidR="0034196A">
        <w:rPr>
          <w:rFonts w:ascii="Baskerville" w:hAnsi="Baskerville"/>
        </w:rPr>
        <w:t xml:space="preserve"> the threat of switching can cause misaligned incentives, particularly if that bank is one of the larger borrowers from the FHLB. </w:t>
      </w:r>
    </w:p>
    <w:p w14:paraId="61D2268F" w14:textId="3B56C459" w:rsidR="0034196A" w:rsidRPr="00F84BEF" w:rsidRDefault="0034196A" w:rsidP="00F84BEF">
      <w:pPr>
        <w:spacing w:after="120"/>
        <w:ind w:firstLine="720"/>
        <w:rPr>
          <w:rFonts w:ascii="Baskerville" w:hAnsi="Baskerville"/>
        </w:rPr>
      </w:pPr>
      <w:r>
        <w:rPr>
          <w:rFonts w:ascii="Baskerville" w:hAnsi="Baskerville"/>
        </w:rPr>
        <w:t>The solution is to require single district membership for all banks. This was included in the Treasury Department</w:t>
      </w:r>
      <w:r w:rsidR="004C24F3">
        <w:rPr>
          <w:rFonts w:ascii="Baskerville" w:hAnsi="Baskerville"/>
        </w:rPr>
        <w:t>’</w:t>
      </w:r>
      <w:r>
        <w:rPr>
          <w:rFonts w:ascii="Baskerville" w:hAnsi="Baskerville"/>
        </w:rPr>
        <w:t>s Housing Finance Reform proposal of 2011.</w:t>
      </w:r>
      <w:r w:rsidR="0020686A">
        <w:rPr>
          <w:rStyle w:val="FootnoteReference"/>
        </w:rPr>
        <w:footnoteReference w:id="16"/>
      </w:r>
      <w:r>
        <w:rPr>
          <w:rFonts w:ascii="Baskerville" w:hAnsi="Baskerville"/>
        </w:rPr>
        <w:t xml:space="preserve"> It was good policy then</w:t>
      </w:r>
      <w:r w:rsidR="002B15AA">
        <w:rPr>
          <w:rFonts w:ascii="Baskerville" w:hAnsi="Baskerville"/>
        </w:rPr>
        <w:t>,</w:t>
      </w:r>
      <w:r>
        <w:rPr>
          <w:rFonts w:ascii="Baskerville" w:hAnsi="Baskerville"/>
        </w:rPr>
        <w:t xml:space="preserve"> and it is good policy today. FHFA could consider imposing this through regulation as part of ensuring the safety and soundness of the FHLB system.</w:t>
      </w:r>
    </w:p>
    <w:p w14:paraId="00563D9C" w14:textId="7F7A3C00" w:rsidR="002D4BE0" w:rsidRDefault="002D4BE0" w:rsidP="00F84BEF">
      <w:pPr>
        <w:spacing w:after="120"/>
        <w:ind w:firstLine="720"/>
        <w:rPr>
          <w:rFonts w:ascii="Baskerville" w:hAnsi="Baskerville"/>
        </w:rPr>
      </w:pPr>
      <w:r w:rsidRPr="00F84BEF">
        <w:rPr>
          <w:rFonts w:ascii="Baskerville" w:hAnsi="Baskerville"/>
        </w:rPr>
        <w:lastRenderedPageBreak/>
        <w:t xml:space="preserve">A related reason that the FHLBanks lack the right set of incentives is that their leaders are not as accountable as the leaders of the Federal Reserve </w:t>
      </w:r>
      <w:r w:rsidR="001F45F6">
        <w:rPr>
          <w:rFonts w:ascii="Baskerville" w:hAnsi="Baskerville"/>
        </w:rPr>
        <w:t>S</w:t>
      </w:r>
      <w:r w:rsidRPr="00F84BEF">
        <w:rPr>
          <w:rFonts w:ascii="Baskerville" w:hAnsi="Baskerville"/>
        </w:rPr>
        <w:t>ystem. Although both systems were public-private hybrids when first created in the early 1900s, each has undergone a number of subsequent reforms, rendering the Federal Reserve far more public and the FHLBanks far, far more private.</w:t>
      </w:r>
      <w:r w:rsidRPr="00406992">
        <w:rPr>
          <w:rStyle w:val="FootnoteReference"/>
        </w:rPr>
        <w:footnoteReference w:id="17"/>
      </w:r>
      <w:r w:rsidRPr="00F84BEF">
        <w:rPr>
          <w:rFonts w:ascii="Baskerville" w:hAnsi="Baskerville"/>
        </w:rPr>
        <w:t xml:space="preserve"> This comes through in their respective approaches to providing liquidity. Although the FHLBanks have been more than happy to make loans to deeply troubled banks, they adjust the terms on which they will extend loans in order to minimize their credit risk. This means, among other things, that when the value of particular types of assets are more volatile or going down because of uncertainty about their value, the FHLBanks can demand bigger haircuts to loan against that collateral. This is just what they should do if they are trying to reduce their credit risk but the opposite of what a good lender</w:t>
      </w:r>
      <w:r w:rsidR="002B15AA">
        <w:rPr>
          <w:rFonts w:ascii="Baskerville" w:hAnsi="Baskerville"/>
        </w:rPr>
        <w:t xml:space="preserve"> </w:t>
      </w:r>
      <w:r w:rsidRPr="00F84BEF">
        <w:rPr>
          <w:rFonts w:ascii="Baskerville" w:hAnsi="Baskerville"/>
        </w:rPr>
        <w:t>of</w:t>
      </w:r>
      <w:r w:rsidR="002B15AA">
        <w:rPr>
          <w:rFonts w:ascii="Baskerville" w:hAnsi="Baskerville"/>
        </w:rPr>
        <w:t xml:space="preserve"> </w:t>
      </w:r>
      <w:r w:rsidRPr="00F84BEF">
        <w:rPr>
          <w:rFonts w:ascii="Baskerville" w:hAnsi="Baskerville"/>
        </w:rPr>
        <w:t>last</w:t>
      </w:r>
      <w:r w:rsidR="002B15AA">
        <w:rPr>
          <w:rFonts w:ascii="Baskerville" w:hAnsi="Baskerville"/>
        </w:rPr>
        <w:t xml:space="preserve"> </w:t>
      </w:r>
      <w:r w:rsidRPr="00F84BEF">
        <w:rPr>
          <w:rFonts w:ascii="Baskerville" w:hAnsi="Baskerville"/>
        </w:rPr>
        <w:t>resort would do, as higher haircuts tend to exacerbate liquidity strains. Their tendency to look out for their own bottom lines more than the public good is also reflected in their willingness to demand blanket liens against all of a bank’s assets, despite the fact such liens can impede a bank’s ability to borrow from the discount window.</w:t>
      </w:r>
      <w:r w:rsidRPr="00406992">
        <w:rPr>
          <w:rStyle w:val="FootnoteReference"/>
        </w:rPr>
        <w:footnoteReference w:id="18"/>
      </w:r>
    </w:p>
    <w:p w14:paraId="24093B07" w14:textId="77777777" w:rsidR="00CD7EBF" w:rsidRDefault="000E15CE" w:rsidP="00CD7EBF">
      <w:pPr>
        <w:spacing w:after="120"/>
        <w:rPr>
          <w:rFonts w:ascii="Baskerville" w:hAnsi="Baskerville"/>
        </w:rPr>
      </w:pPr>
      <w:r>
        <w:rPr>
          <w:rFonts w:ascii="Baskerville" w:hAnsi="Baskerville"/>
        </w:rPr>
        <w:t xml:space="preserve">FHLBank leadership is incentivized to make profit </w:t>
      </w:r>
      <w:r w:rsidR="00796E0D">
        <w:rPr>
          <w:rFonts w:ascii="Baskerville" w:hAnsi="Baskerville"/>
        </w:rPr>
        <w:t>both for their members and as a result of</w:t>
      </w:r>
      <w:r>
        <w:rPr>
          <w:rFonts w:ascii="Baskerville" w:hAnsi="Baskerville"/>
        </w:rPr>
        <w:t xml:space="preserve"> their </w:t>
      </w:r>
      <w:r w:rsidR="00796E0D">
        <w:rPr>
          <w:rFonts w:ascii="Baskerville" w:hAnsi="Baskerville"/>
        </w:rPr>
        <w:t xml:space="preserve">personal </w:t>
      </w:r>
      <w:r>
        <w:rPr>
          <w:rFonts w:ascii="Baskerville" w:hAnsi="Baskerville"/>
        </w:rPr>
        <w:t>compensation.</w:t>
      </w:r>
      <w:r w:rsidR="002E3AC9">
        <w:rPr>
          <w:rStyle w:val="FootnoteReference"/>
        </w:rPr>
        <w:footnoteReference w:id="19"/>
      </w:r>
      <w:r>
        <w:rPr>
          <w:rFonts w:ascii="Baskerville" w:hAnsi="Baskerville"/>
        </w:rPr>
        <w:t xml:space="preserve"> FHLBank Presidents </w:t>
      </w:r>
      <w:r w:rsidR="00FB3409">
        <w:rPr>
          <w:rFonts w:ascii="Baskerville" w:hAnsi="Baskerville"/>
        </w:rPr>
        <w:t>earn</w:t>
      </w:r>
      <w:r w:rsidR="006B2FDE">
        <w:rPr>
          <w:rFonts w:ascii="Baskerville" w:hAnsi="Baskerville"/>
        </w:rPr>
        <w:t>ed an average of</w:t>
      </w:r>
      <w:r w:rsidR="00FB3409">
        <w:rPr>
          <w:rFonts w:ascii="Baskerville" w:hAnsi="Baskerville"/>
        </w:rPr>
        <w:t xml:space="preserve"> </w:t>
      </w:r>
      <w:r w:rsidR="00D91B52">
        <w:rPr>
          <w:rFonts w:ascii="Baskerville" w:hAnsi="Baskerville"/>
        </w:rPr>
        <w:t xml:space="preserve">$2.9 million </w:t>
      </w:r>
      <w:r w:rsidR="006B2FDE">
        <w:rPr>
          <w:rFonts w:ascii="Baskerville" w:hAnsi="Baskerville"/>
        </w:rPr>
        <w:t>in annual compensation,</w:t>
      </w:r>
      <w:r w:rsidR="00D91B52">
        <w:rPr>
          <w:rFonts w:ascii="Baskerville" w:hAnsi="Baskerville"/>
        </w:rPr>
        <w:t xml:space="preserve"> with the highest making $4.4 million</w:t>
      </w:r>
      <w:r w:rsidR="006B2FDE">
        <w:rPr>
          <w:rFonts w:ascii="Baskerville" w:hAnsi="Baskerville"/>
        </w:rPr>
        <w:t>,</w:t>
      </w:r>
      <w:r w:rsidR="00D91B52">
        <w:rPr>
          <w:rFonts w:ascii="Baskerville" w:hAnsi="Baskerville"/>
        </w:rPr>
        <w:t xml:space="preserve"> in 2023</w:t>
      </w:r>
      <w:r>
        <w:rPr>
          <w:rFonts w:ascii="Baskerville" w:hAnsi="Baskerville"/>
        </w:rPr>
        <w:t>.</w:t>
      </w:r>
      <w:r w:rsidR="00CF3C97">
        <w:rPr>
          <w:rStyle w:val="FootnoteReference"/>
        </w:rPr>
        <w:footnoteReference w:id="20"/>
      </w:r>
      <w:r>
        <w:rPr>
          <w:rFonts w:ascii="Baskerville" w:hAnsi="Baskerville"/>
        </w:rPr>
        <w:t xml:space="preserve"> This compensation is multiples higher than Federal Reserve Bank Presidents</w:t>
      </w:r>
      <w:r w:rsidR="006B2FDE">
        <w:rPr>
          <w:rFonts w:ascii="Baskerville" w:hAnsi="Baskerville"/>
        </w:rPr>
        <w:t>, who themselves earn far more than the Chair or Governors of the Federal Reserve System.</w:t>
      </w:r>
      <w:r w:rsidR="0055699B">
        <w:rPr>
          <w:rStyle w:val="FootnoteReference"/>
        </w:rPr>
        <w:footnoteReference w:id="21"/>
      </w:r>
      <w:r>
        <w:rPr>
          <w:rFonts w:ascii="Baskerville" w:hAnsi="Baskerville"/>
        </w:rPr>
        <w:t xml:space="preserve"> </w:t>
      </w:r>
      <w:r w:rsidR="006B2FDE">
        <w:rPr>
          <w:rFonts w:ascii="Baskerville" w:hAnsi="Baskerville"/>
        </w:rPr>
        <w:t>This disparity is particularly striking given that the Federal Reserve system was a model when the FHLBank system was first created; it</w:t>
      </w:r>
      <w:r w:rsidR="002B15AA">
        <w:rPr>
          <w:rFonts w:ascii="Baskerville" w:hAnsi="Baskerville"/>
        </w:rPr>
        <w:t>,</w:t>
      </w:r>
      <w:r w:rsidR="006B2FDE">
        <w:rPr>
          <w:rFonts w:ascii="Baskerville" w:hAnsi="Baskerville"/>
        </w:rPr>
        <w:t xml:space="preserve"> too</w:t>
      </w:r>
      <w:r w:rsidR="002B15AA">
        <w:rPr>
          <w:rFonts w:ascii="Baskerville" w:hAnsi="Baskerville"/>
        </w:rPr>
        <w:t>,</w:t>
      </w:r>
      <w:r w:rsidR="006B2FDE">
        <w:rPr>
          <w:rFonts w:ascii="Baskerville" w:hAnsi="Baskerville"/>
        </w:rPr>
        <w:t xml:space="preserve"> continues to operate as a cooperative, with private member financial institutions, albeit with residual profits going to the Tr</w:t>
      </w:r>
      <w:r w:rsidR="00796E0D">
        <w:rPr>
          <w:rFonts w:ascii="Baskerville" w:hAnsi="Baskerville"/>
        </w:rPr>
        <w:t>e</w:t>
      </w:r>
      <w:r w:rsidR="006B2FDE">
        <w:rPr>
          <w:rFonts w:ascii="Baskerville" w:hAnsi="Baskerville"/>
        </w:rPr>
        <w:t>asury Department; and the Federal Reserve Banks have larger work forces and engage in a wider variety of activities than individual FHLBanks</w:t>
      </w:r>
      <w:r w:rsidR="00944154">
        <w:rPr>
          <w:rFonts w:ascii="Baskerville" w:hAnsi="Baskerville"/>
        </w:rPr>
        <w:t xml:space="preserve">. Focusing just on cities that have both a Federal Reserve Bank and a FHLBank, </w:t>
      </w:r>
      <w:r w:rsidR="00EF34BF">
        <w:rPr>
          <w:rFonts w:ascii="Baskerville" w:hAnsi="Baskerville"/>
        </w:rPr>
        <w:t>Table 1</w:t>
      </w:r>
      <w:r w:rsidR="00944154">
        <w:rPr>
          <w:rFonts w:ascii="Baskerville" w:hAnsi="Baskerville"/>
        </w:rPr>
        <w:t xml:space="preserve"> captures the mismatch between compensation and operations (with the latter reduced to the size of the workforce). </w:t>
      </w:r>
    </w:p>
    <w:p w14:paraId="5D708E18" w14:textId="3E06C03A" w:rsidR="00CD7EBF" w:rsidRPr="00406992" w:rsidRDefault="00CD7EBF" w:rsidP="00CD7EBF">
      <w:pPr>
        <w:spacing w:after="120"/>
        <w:rPr>
          <w:rFonts w:ascii="Baskerville" w:hAnsi="Baskerville"/>
          <w:u w:val="single"/>
        </w:rPr>
      </w:pPr>
      <w:r w:rsidRPr="00406992">
        <w:rPr>
          <w:rFonts w:ascii="Baskerville" w:hAnsi="Baskerville"/>
          <w:u w:val="single"/>
        </w:rPr>
        <w:t>Table 1: FHLBank and Federal Reserve Bank</w:t>
      </w:r>
      <w:r>
        <w:rPr>
          <w:rFonts w:ascii="Baskerville" w:hAnsi="Baskerville"/>
          <w:u w:val="single"/>
        </w:rPr>
        <w:t xml:space="preserve"> President</w:t>
      </w:r>
      <w:r w:rsidRPr="00406992">
        <w:rPr>
          <w:rFonts w:ascii="Baskerville" w:hAnsi="Baskerville"/>
          <w:u w:val="single"/>
        </w:rPr>
        <w:t xml:space="preserve"> Compensation and Operations</w:t>
      </w:r>
    </w:p>
    <w:p w14:paraId="0CA41EEC" w14:textId="4208155F" w:rsidR="00CD70B0" w:rsidRDefault="00CD70B0" w:rsidP="008E5D7D">
      <w:pPr>
        <w:spacing w:after="120"/>
        <w:ind w:firstLine="720"/>
        <w:rPr>
          <w:rFonts w:ascii="Baskerville" w:hAnsi="Baskerville"/>
        </w:rPr>
      </w:pPr>
    </w:p>
    <w:tbl>
      <w:tblPr>
        <w:tblW w:w="5149" w:type="pct"/>
        <w:tblLayout w:type="fixed"/>
        <w:tblLook w:val="04A0" w:firstRow="1" w:lastRow="0" w:firstColumn="1" w:lastColumn="0" w:noHBand="0" w:noVBand="1"/>
      </w:tblPr>
      <w:tblGrid>
        <w:gridCol w:w="2550"/>
        <w:gridCol w:w="1699"/>
        <w:gridCol w:w="1285"/>
        <w:gridCol w:w="1130"/>
        <w:gridCol w:w="1700"/>
        <w:gridCol w:w="1265"/>
      </w:tblGrid>
      <w:tr w:rsidR="00CD285E" w:rsidRPr="0045705A" w14:paraId="70873C60" w14:textId="77777777" w:rsidTr="00406992">
        <w:trPr>
          <w:trHeight w:val="1060"/>
        </w:trPr>
        <w:tc>
          <w:tcPr>
            <w:tcW w:w="132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1F5309" w14:textId="06B447B0" w:rsidR="0045705A" w:rsidRPr="00406992" w:rsidRDefault="0045705A" w:rsidP="0045705A">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lastRenderedPageBreak/>
              <w:t>Bank</w:t>
            </w:r>
          </w:p>
        </w:tc>
        <w:tc>
          <w:tcPr>
            <w:tcW w:w="882" w:type="pct"/>
            <w:tcBorders>
              <w:top w:val="single" w:sz="4" w:space="0" w:color="000000"/>
              <w:left w:val="single" w:sz="4" w:space="0" w:color="000000"/>
              <w:bottom w:val="single" w:sz="4" w:space="0" w:color="000000"/>
              <w:right w:val="nil"/>
            </w:tcBorders>
            <w:shd w:val="clear" w:color="auto" w:fill="auto"/>
            <w:vAlign w:val="bottom"/>
            <w:hideMark/>
          </w:tcPr>
          <w:p w14:paraId="47C15F5A" w14:textId="0A6E96A7" w:rsidR="0045705A" w:rsidRPr="00406992" w:rsidRDefault="0045705A" w:rsidP="00406992">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President compensation ($) (2022)</w:t>
            </w:r>
            <w:r w:rsidR="00750670">
              <w:rPr>
                <w:rStyle w:val="FootnoteReference"/>
                <w:rFonts w:eastAsia="Times New Roman" w:cs="Times New Roman"/>
                <w:color w:val="000000"/>
                <w:sz w:val="22"/>
                <w:szCs w:val="22"/>
                <w:lang w:val="en-CA"/>
              </w:rPr>
              <w:footnoteReference w:id="22"/>
            </w:r>
          </w:p>
        </w:tc>
        <w:tc>
          <w:tcPr>
            <w:tcW w:w="667" w:type="pct"/>
            <w:tcBorders>
              <w:top w:val="single" w:sz="4" w:space="0" w:color="000000"/>
              <w:left w:val="nil"/>
              <w:bottom w:val="single" w:sz="4" w:space="0" w:color="000000"/>
              <w:right w:val="nil"/>
            </w:tcBorders>
            <w:shd w:val="clear" w:color="auto" w:fill="auto"/>
            <w:vAlign w:val="bottom"/>
            <w:hideMark/>
          </w:tcPr>
          <w:p w14:paraId="6073ECCA" w14:textId="25E9F215" w:rsidR="0045705A" w:rsidRPr="00406992" w:rsidRDefault="00CD285E" w:rsidP="00406992">
            <w:pPr>
              <w:jc w:val="right"/>
              <w:rPr>
                <w:rFonts w:ascii="Baskerville" w:eastAsia="Times New Roman" w:hAnsi="Baskerville" w:cs="Times New Roman"/>
                <w:color w:val="000000"/>
                <w:sz w:val="22"/>
                <w:szCs w:val="22"/>
                <w:lang w:val="en-CA"/>
              </w:rPr>
            </w:pPr>
            <w:r>
              <w:rPr>
                <w:rFonts w:ascii="Baskerville" w:eastAsia="Times New Roman" w:hAnsi="Baskerville" w:cs="Times New Roman"/>
                <w:color w:val="000000"/>
                <w:sz w:val="22"/>
                <w:szCs w:val="22"/>
                <w:lang w:val="en-CA"/>
              </w:rPr>
              <w:t>#</w:t>
            </w:r>
            <w:r w:rsidR="0045705A" w:rsidRPr="00406992">
              <w:rPr>
                <w:rFonts w:ascii="Baskerville" w:eastAsia="Times New Roman" w:hAnsi="Baskerville" w:cs="Times New Roman"/>
                <w:color w:val="000000"/>
                <w:sz w:val="22"/>
                <w:szCs w:val="22"/>
                <w:lang w:val="en-CA"/>
              </w:rPr>
              <w:t xml:space="preserve"> of employees (2022)</w:t>
            </w:r>
            <w:r w:rsidR="00D76058">
              <w:rPr>
                <w:rStyle w:val="FootnoteReference"/>
                <w:rFonts w:eastAsia="Times New Roman" w:cs="Times New Roman"/>
                <w:color w:val="000000"/>
                <w:sz w:val="22"/>
                <w:szCs w:val="22"/>
                <w:lang w:val="en-CA"/>
              </w:rPr>
              <w:footnoteReference w:id="23"/>
            </w:r>
          </w:p>
        </w:tc>
        <w:tc>
          <w:tcPr>
            <w:tcW w:w="587" w:type="pct"/>
            <w:tcBorders>
              <w:top w:val="single" w:sz="4" w:space="0" w:color="000000"/>
              <w:left w:val="nil"/>
              <w:bottom w:val="single" w:sz="4" w:space="0" w:color="000000"/>
              <w:right w:val="nil"/>
            </w:tcBorders>
            <w:shd w:val="clear" w:color="auto" w:fill="auto"/>
            <w:vAlign w:val="bottom"/>
            <w:hideMark/>
          </w:tcPr>
          <w:p w14:paraId="5A4FED34" w14:textId="3034CFDF" w:rsidR="0045705A" w:rsidRPr="00406992" w:rsidRDefault="00CD285E" w:rsidP="00406992">
            <w:pPr>
              <w:jc w:val="right"/>
              <w:rPr>
                <w:rFonts w:ascii="Baskerville" w:eastAsia="Times New Roman" w:hAnsi="Baskerville" w:cs="Times New Roman"/>
                <w:color w:val="000000"/>
                <w:sz w:val="22"/>
                <w:szCs w:val="22"/>
                <w:lang w:val="en-CA"/>
              </w:rPr>
            </w:pPr>
            <w:r>
              <w:rPr>
                <w:rFonts w:ascii="Baskerville" w:eastAsia="Times New Roman" w:hAnsi="Baskerville" w:cs="Times New Roman"/>
                <w:color w:val="000000"/>
                <w:sz w:val="22"/>
                <w:szCs w:val="22"/>
                <w:lang w:val="en-CA"/>
              </w:rPr>
              <w:t xml:space="preserve"># </w:t>
            </w:r>
            <w:r w:rsidR="0045705A" w:rsidRPr="00406992">
              <w:rPr>
                <w:rFonts w:ascii="Baskerville" w:eastAsia="Times New Roman" w:hAnsi="Baskerville" w:cs="Times New Roman"/>
                <w:color w:val="000000"/>
                <w:sz w:val="22"/>
                <w:szCs w:val="22"/>
                <w:lang w:val="en-CA"/>
              </w:rPr>
              <w:t>of branches</w:t>
            </w:r>
            <w:r>
              <w:rPr>
                <w:rFonts w:ascii="Baskerville" w:eastAsia="Times New Roman" w:hAnsi="Baskerville" w:cs="Times New Roman"/>
                <w:color w:val="000000"/>
                <w:sz w:val="22"/>
                <w:szCs w:val="22"/>
                <w:lang w:val="en-CA"/>
              </w:rPr>
              <w:t xml:space="preserve"> excluding </w:t>
            </w:r>
            <w:proofErr w:type="gramStart"/>
            <w:r>
              <w:rPr>
                <w:rFonts w:ascii="Baskerville" w:eastAsia="Times New Roman" w:hAnsi="Baskerville" w:cs="Times New Roman"/>
                <w:color w:val="000000"/>
                <w:sz w:val="22"/>
                <w:szCs w:val="22"/>
                <w:lang w:val="en-CA"/>
              </w:rPr>
              <w:t xml:space="preserve">HQ </w:t>
            </w:r>
            <w:r w:rsidR="0045705A" w:rsidRPr="00406992">
              <w:rPr>
                <w:rFonts w:ascii="Baskerville" w:eastAsia="Times New Roman" w:hAnsi="Baskerville" w:cs="Times New Roman"/>
                <w:color w:val="000000"/>
                <w:sz w:val="22"/>
                <w:szCs w:val="22"/>
                <w:lang w:val="en-CA"/>
              </w:rPr>
              <w:t xml:space="preserve"> (</w:t>
            </w:r>
            <w:proofErr w:type="gramEnd"/>
            <w:r w:rsidR="0045705A" w:rsidRPr="00406992">
              <w:rPr>
                <w:rFonts w:ascii="Baskerville" w:eastAsia="Times New Roman" w:hAnsi="Baskerville" w:cs="Times New Roman"/>
                <w:color w:val="000000"/>
                <w:sz w:val="22"/>
                <w:szCs w:val="22"/>
                <w:lang w:val="en-CA"/>
              </w:rPr>
              <w:t>2024)</w:t>
            </w:r>
            <w:r w:rsidR="00714343">
              <w:rPr>
                <w:rStyle w:val="FootnoteReference"/>
                <w:rFonts w:eastAsia="Times New Roman" w:cs="Times New Roman"/>
                <w:color w:val="000000"/>
                <w:sz w:val="22"/>
                <w:szCs w:val="22"/>
                <w:lang w:val="en-CA"/>
              </w:rPr>
              <w:footnoteReference w:id="24"/>
            </w:r>
          </w:p>
        </w:tc>
        <w:tc>
          <w:tcPr>
            <w:tcW w:w="883" w:type="pct"/>
            <w:tcBorders>
              <w:top w:val="single" w:sz="4" w:space="0" w:color="000000"/>
              <w:left w:val="nil"/>
              <w:bottom w:val="single" w:sz="4" w:space="0" w:color="000000"/>
              <w:right w:val="nil"/>
            </w:tcBorders>
            <w:shd w:val="clear" w:color="auto" w:fill="auto"/>
            <w:vAlign w:val="bottom"/>
            <w:hideMark/>
          </w:tcPr>
          <w:p w14:paraId="474BCC57" w14:textId="54B2B69F" w:rsidR="0045705A" w:rsidRPr="00406992" w:rsidRDefault="0045705A" w:rsidP="00406992">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Operating expenses/non-interest expense ($ thousands) (2022)</w:t>
            </w:r>
            <w:r w:rsidR="00B00AC9">
              <w:rPr>
                <w:rStyle w:val="FootnoteReference"/>
                <w:rFonts w:eastAsia="Times New Roman" w:cs="Times New Roman"/>
                <w:color w:val="000000"/>
                <w:sz w:val="22"/>
                <w:szCs w:val="22"/>
                <w:lang w:val="en-CA"/>
              </w:rPr>
              <w:footnoteReference w:id="25"/>
            </w:r>
          </w:p>
        </w:tc>
        <w:tc>
          <w:tcPr>
            <w:tcW w:w="657" w:type="pct"/>
            <w:tcBorders>
              <w:top w:val="single" w:sz="4" w:space="0" w:color="000000"/>
              <w:left w:val="nil"/>
              <w:bottom w:val="single" w:sz="4" w:space="0" w:color="000000"/>
              <w:right w:val="single" w:sz="4" w:space="0" w:color="000000"/>
            </w:tcBorders>
            <w:shd w:val="clear" w:color="auto" w:fill="auto"/>
            <w:vAlign w:val="bottom"/>
            <w:hideMark/>
          </w:tcPr>
          <w:p w14:paraId="7478A06A" w14:textId="77777777" w:rsidR="00CD285E" w:rsidRDefault="0045705A" w:rsidP="00CD285E">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 xml:space="preserve">Assets </w:t>
            </w:r>
          </w:p>
          <w:p w14:paraId="41EB0763" w14:textId="3CD42012" w:rsidR="0045705A" w:rsidRPr="00406992" w:rsidRDefault="0045705A" w:rsidP="00406992">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 millions) (2022)</w:t>
            </w:r>
            <w:r w:rsidR="00E71463">
              <w:rPr>
                <w:rStyle w:val="FootnoteReference"/>
                <w:rFonts w:eastAsia="Times New Roman" w:cs="Times New Roman"/>
                <w:color w:val="000000"/>
                <w:sz w:val="22"/>
                <w:szCs w:val="22"/>
                <w:lang w:val="en-CA"/>
              </w:rPr>
              <w:footnoteReference w:id="26"/>
            </w:r>
          </w:p>
        </w:tc>
      </w:tr>
      <w:tr w:rsidR="006A2FCB" w:rsidRPr="0045705A" w14:paraId="2CFEF419" w14:textId="77777777" w:rsidTr="006A2FCB">
        <w:trPr>
          <w:trHeight w:val="380"/>
        </w:trPr>
        <w:tc>
          <w:tcPr>
            <w:tcW w:w="1324" w:type="pct"/>
            <w:tcBorders>
              <w:top w:val="nil"/>
              <w:left w:val="single" w:sz="4" w:space="0" w:color="000000"/>
              <w:bottom w:val="nil"/>
              <w:right w:val="single" w:sz="4" w:space="0" w:color="000000"/>
            </w:tcBorders>
            <w:shd w:val="clear" w:color="D9D9D9" w:fill="D9D9D9"/>
            <w:vAlign w:val="bottom"/>
          </w:tcPr>
          <w:p w14:paraId="3A29C498" w14:textId="7B954B3B" w:rsidR="006A2FCB" w:rsidRPr="006A2FCB" w:rsidRDefault="006A2FCB" w:rsidP="006A2FCB">
            <w:pPr>
              <w:rPr>
                <w:rFonts w:ascii="Baskerville" w:eastAsia="Times New Roman" w:hAnsi="Baskerville" w:cs="Times New Roman"/>
                <w:color w:val="000000"/>
                <w:sz w:val="22"/>
                <w:szCs w:val="22"/>
                <w:lang w:val="en-CA"/>
              </w:rPr>
            </w:pPr>
            <w:r w:rsidRPr="00073F93">
              <w:rPr>
                <w:rFonts w:ascii="Baskerville" w:eastAsia="Times New Roman" w:hAnsi="Baskerville" w:cs="Times New Roman"/>
                <w:color w:val="000000"/>
                <w:sz w:val="22"/>
                <w:szCs w:val="22"/>
                <w:lang w:val="en-CA"/>
              </w:rPr>
              <w:t>FHLBank Atlanta</w:t>
            </w:r>
          </w:p>
        </w:tc>
        <w:tc>
          <w:tcPr>
            <w:tcW w:w="882" w:type="pct"/>
            <w:tcBorders>
              <w:top w:val="nil"/>
              <w:left w:val="single" w:sz="4" w:space="0" w:color="000000"/>
              <w:bottom w:val="nil"/>
              <w:right w:val="nil"/>
            </w:tcBorders>
            <w:shd w:val="clear" w:color="D9D9D9" w:fill="D9D9D9"/>
            <w:noWrap/>
            <w:vAlign w:val="bottom"/>
          </w:tcPr>
          <w:p w14:paraId="6F67BCC7" w14:textId="29741F41" w:rsidR="006A2FCB" w:rsidRPr="006A2FCB" w:rsidRDefault="006A2FCB" w:rsidP="006A2FCB">
            <w:pPr>
              <w:jc w:val="right"/>
              <w:rPr>
                <w:rFonts w:ascii="Baskerville" w:eastAsia="Times New Roman" w:hAnsi="Baskerville" w:cs="Times New Roman"/>
                <w:color w:val="000000"/>
                <w:sz w:val="22"/>
                <w:szCs w:val="22"/>
                <w:lang w:val="en-CA"/>
              </w:rPr>
            </w:pPr>
            <w:r w:rsidRPr="00073F93">
              <w:rPr>
                <w:rFonts w:ascii="Baskerville" w:eastAsia="Times New Roman" w:hAnsi="Baskerville" w:cs="Times New Roman"/>
                <w:color w:val="000000"/>
                <w:sz w:val="22"/>
                <w:szCs w:val="22"/>
                <w:lang w:val="en-CA"/>
              </w:rPr>
              <w:t>$2,003,932</w:t>
            </w:r>
          </w:p>
        </w:tc>
        <w:tc>
          <w:tcPr>
            <w:tcW w:w="667" w:type="pct"/>
            <w:tcBorders>
              <w:top w:val="nil"/>
              <w:left w:val="nil"/>
              <w:bottom w:val="nil"/>
              <w:right w:val="nil"/>
            </w:tcBorders>
            <w:shd w:val="clear" w:color="D9D9D9" w:fill="D9D9D9"/>
            <w:noWrap/>
            <w:vAlign w:val="bottom"/>
          </w:tcPr>
          <w:p w14:paraId="79C21C05" w14:textId="66DFCE03" w:rsidR="006A2FCB" w:rsidRPr="006A2FCB" w:rsidRDefault="006A2FCB" w:rsidP="006A2FCB">
            <w:pPr>
              <w:jc w:val="right"/>
              <w:rPr>
                <w:rFonts w:ascii="Baskerville" w:eastAsia="Times New Roman" w:hAnsi="Baskerville" w:cs="Times New Roman"/>
                <w:color w:val="000000"/>
                <w:sz w:val="22"/>
                <w:szCs w:val="22"/>
                <w:lang w:val="en-CA"/>
              </w:rPr>
            </w:pPr>
            <w:r w:rsidRPr="00073F93">
              <w:rPr>
                <w:rFonts w:ascii="Baskerville" w:eastAsia="Times New Roman" w:hAnsi="Baskerville" w:cs="Times New Roman"/>
                <w:color w:val="000000"/>
                <w:sz w:val="22"/>
                <w:szCs w:val="22"/>
                <w:lang w:val="en-CA"/>
              </w:rPr>
              <w:t>319</w:t>
            </w:r>
          </w:p>
        </w:tc>
        <w:tc>
          <w:tcPr>
            <w:tcW w:w="587" w:type="pct"/>
            <w:tcBorders>
              <w:top w:val="nil"/>
              <w:left w:val="nil"/>
              <w:bottom w:val="nil"/>
              <w:right w:val="nil"/>
            </w:tcBorders>
            <w:shd w:val="clear" w:color="D9D9D9" w:fill="D9D9D9"/>
            <w:noWrap/>
            <w:vAlign w:val="bottom"/>
          </w:tcPr>
          <w:p w14:paraId="26B9E414" w14:textId="32EF3B48" w:rsidR="006A2FCB" w:rsidRPr="006A2FCB" w:rsidRDefault="006A2FCB" w:rsidP="006A2FCB">
            <w:pPr>
              <w:jc w:val="right"/>
              <w:rPr>
                <w:rFonts w:ascii="Baskerville" w:eastAsia="Times New Roman" w:hAnsi="Baskerville" w:cs="Times New Roman"/>
                <w:color w:val="000000"/>
                <w:sz w:val="22"/>
                <w:szCs w:val="22"/>
                <w:lang w:val="en-CA"/>
              </w:rPr>
            </w:pPr>
            <w:r w:rsidRPr="00073F93">
              <w:rPr>
                <w:rFonts w:ascii="Baskerville" w:eastAsia="Times New Roman" w:hAnsi="Baskerville" w:cs="Times New Roman"/>
                <w:color w:val="000000"/>
                <w:sz w:val="22"/>
                <w:szCs w:val="22"/>
                <w:lang w:val="en-CA"/>
              </w:rPr>
              <w:t>0</w:t>
            </w:r>
          </w:p>
        </w:tc>
        <w:tc>
          <w:tcPr>
            <w:tcW w:w="883" w:type="pct"/>
            <w:tcBorders>
              <w:top w:val="nil"/>
              <w:left w:val="nil"/>
              <w:bottom w:val="nil"/>
              <w:right w:val="nil"/>
            </w:tcBorders>
            <w:shd w:val="clear" w:color="D9D9D9" w:fill="D9D9D9"/>
            <w:noWrap/>
            <w:vAlign w:val="bottom"/>
          </w:tcPr>
          <w:p w14:paraId="446F9B46" w14:textId="1EC20C1B" w:rsidR="006A2FCB" w:rsidRPr="006A2FCB" w:rsidRDefault="006A2FCB" w:rsidP="006A2FCB">
            <w:pPr>
              <w:jc w:val="right"/>
              <w:rPr>
                <w:rFonts w:ascii="Baskerville" w:eastAsia="Times New Roman" w:hAnsi="Baskerville" w:cs="Times New Roman"/>
                <w:color w:val="000000"/>
                <w:sz w:val="22"/>
                <w:szCs w:val="22"/>
                <w:lang w:val="en-CA"/>
              </w:rPr>
            </w:pPr>
            <w:r w:rsidRPr="00073F93">
              <w:rPr>
                <w:rFonts w:ascii="Baskerville" w:eastAsia="Times New Roman" w:hAnsi="Baskerville" w:cs="Times New Roman"/>
                <w:color w:val="000000"/>
                <w:sz w:val="22"/>
                <w:szCs w:val="22"/>
                <w:lang w:val="en-CA"/>
              </w:rPr>
              <w:t>$138,000</w:t>
            </w:r>
          </w:p>
        </w:tc>
        <w:tc>
          <w:tcPr>
            <w:tcW w:w="657" w:type="pct"/>
            <w:tcBorders>
              <w:top w:val="nil"/>
              <w:left w:val="nil"/>
              <w:bottom w:val="nil"/>
              <w:right w:val="single" w:sz="4" w:space="0" w:color="000000"/>
            </w:tcBorders>
            <w:shd w:val="clear" w:color="D9D9D9" w:fill="D9D9D9"/>
            <w:noWrap/>
            <w:vAlign w:val="bottom"/>
          </w:tcPr>
          <w:p w14:paraId="08A49544" w14:textId="15571E36" w:rsidR="006A2FCB" w:rsidRPr="006A2FCB" w:rsidRDefault="006A2FCB" w:rsidP="006A2FCB">
            <w:pPr>
              <w:jc w:val="right"/>
              <w:rPr>
                <w:rFonts w:ascii="Baskerville" w:eastAsia="Times New Roman" w:hAnsi="Baskerville" w:cs="Times New Roman"/>
                <w:color w:val="000000"/>
                <w:sz w:val="22"/>
                <w:szCs w:val="22"/>
                <w:lang w:val="en-CA"/>
              </w:rPr>
            </w:pPr>
            <w:r w:rsidRPr="00073F93">
              <w:rPr>
                <w:rFonts w:ascii="Baskerville" w:eastAsia="Times New Roman" w:hAnsi="Baskerville" w:cs="Times New Roman"/>
                <w:color w:val="000000"/>
                <w:sz w:val="22"/>
                <w:szCs w:val="22"/>
                <w:lang w:val="en-CA"/>
              </w:rPr>
              <w:t>$</w:t>
            </w:r>
            <w:r>
              <w:rPr>
                <w:rFonts w:ascii="Baskerville" w:eastAsia="Times New Roman" w:hAnsi="Baskerville" w:cs="Times New Roman"/>
                <w:color w:val="000000"/>
                <w:sz w:val="22"/>
                <w:szCs w:val="22"/>
                <w:lang w:val="en-CA"/>
              </w:rPr>
              <w:t>151,622</w:t>
            </w:r>
          </w:p>
        </w:tc>
      </w:tr>
      <w:tr w:rsidR="006A2FCB" w:rsidRPr="0045705A" w14:paraId="46C5339A" w14:textId="77777777" w:rsidTr="00406992">
        <w:trPr>
          <w:trHeight w:val="380"/>
        </w:trPr>
        <w:tc>
          <w:tcPr>
            <w:tcW w:w="1324" w:type="pct"/>
            <w:tcBorders>
              <w:top w:val="nil"/>
              <w:left w:val="single" w:sz="4" w:space="0" w:color="000000"/>
              <w:bottom w:val="nil"/>
              <w:right w:val="single" w:sz="4" w:space="0" w:color="000000"/>
            </w:tcBorders>
            <w:shd w:val="clear" w:color="auto" w:fill="auto"/>
            <w:vAlign w:val="bottom"/>
          </w:tcPr>
          <w:p w14:paraId="4BE724DE" w14:textId="4A2EAC26" w:rsidR="006A2FCB" w:rsidRPr="006A2FCB" w:rsidRDefault="006A2FCB" w:rsidP="006A2FCB">
            <w:pPr>
              <w:rPr>
                <w:rFonts w:ascii="Baskerville" w:eastAsia="Times New Roman" w:hAnsi="Baskerville" w:cs="Times New Roman"/>
                <w:color w:val="000000"/>
                <w:sz w:val="22"/>
                <w:szCs w:val="22"/>
                <w:lang w:val="en-CA"/>
              </w:rPr>
            </w:pPr>
            <w:r w:rsidRPr="006A2FCB">
              <w:rPr>
                <w:rFonts w:ascii="Baskerville" w:eastAsia="Times New Roman" w:hAnsi="Baskerville" w:cs="Times New Roman"/>
                <w:color w:val="000000"/>
                <w:sz w:val="22"/>
                <w:szCs w:val="22"/>
                <w:lang w:val="en-CA"/>
              </w:rPr>
              <w:t>Fed Bank Atlanta</w:t>
            </w:r>
          </w:p>
        </w:tc>
        <w:tc>
          <w:tcPr>
            <w:tcW w:w="882" w:type="pct"/>
            <w:tcBorders>
              <w:top w:val="nil"/>
              <w:left w:val="single" w:sz="4" w:space="0" w:color="000000"/>
              <w:bottom w:val="nil"/>
              <w:right w:val="nil"/>
            </w:tcBorders>
            <w:shd w:val="clear" w:color="auto" w:fill="auto"/>
            <w:noWrap/>
            <w:vAlign w:val="bottom"/>
          </w:tcPr>
          <w:p w14:paraId="7D7E44EB" w14:textId="7B8EFFEC" w:rsidR="006A2FCB" w:rsidRPr="006A2FCB" w:rsidRDefault="006A2FCB" w:rsidP="006A2FCB">
            <w:pPr>
              <w:jc w:val="right"/>
              <w:rPr>
                <w:rFonts w:ascii="Baskerville" w:eastAsia="Times New Roman" w:hAnsi="Baskerville" w:cs="Times New Roman"/>
                <w:color w:val="000000"/>
                <w:sz w:val="22"/>
                <w:szCs w:val="22"/>
                <w:lang w:val="en-CA"/>
              </w:rPr>
            </w:pPr>
            <w:r w:rsidRPr="006A2FCB">
              <w:rPr>
                <w:rFonts w:ascii="Baskerville" w:eastAsia="Times New Roman" w:hAnsi="Baskerville" w:cs="Times New Roman"/>
                <w:color w:val="000000"/>
                <w:sz w:val="22"/>
                <w:szCs w:val="22"/>
                <w:lang w:val="en-CA"/>
              </w:rPr>
              <w:t>$443,100</w:t>
            </w:r>
          </w:p>
        </w:tc>
        <w:tc>
          <w:tcPr>
            <w:tcW w:w="667" w:type="pct"/>
            <w:tcBorders>
              <w:top w:val="nil"/>
              <w:left w:val="nil"/>
              <w:bottom w:val="nil"/>
              <w:right w:val="nil"/>
            </w:tcBorders>
            <w:shd w:val="clear" w:color="auto" w:fill="auto"/>
            <w:noWrap/>
            <w:vAlign w:val="bottom"/>
          </w:tcPr>
          <w:p w14:paraId="7026D744" w14:textId="37FD03EF" w:rsidR="006A2FCB" w:rsidRPr="006A2FCB" w:rsidRDefault="006A2FCB" w:rsidP="006A2FCB">
            <w:pPr>
              <w:jc w:val="right"/>
              <w:rPr>
                <w:rFonts w:ascii="Baskerville" w:eastAsia="Times New Roman" w:hAnsi="Baskerville" w:cs="Times New Roman"/>
                <w:color w:val="000000"/>
                <w:sz w:val="22"/>
                <w:szCs w:val="22"/>
                <w:lang w:val="en-CA"/>
              </w:rPr>
            </w:pPr>
            <w:r w:rsidRPr="006A2FCB">
              <w:rPr>
                <w:rFonts w:ascii="Baskerville" w:eastAsia="Times New Roman" w:hAnsi="Baskerville" w:cs="Times New Roman"/>
                <w:color w:val="000000"/>
                <w:sz w:val="22"/>
                <w:szCs w:val="22"/>
                <w:lang w:val="en-CA"/>
              </w:rPr>
              <w:t>1,814</w:t>
            </w:r>
          </w:p>
        </w:tc>
        <w:tc>
          <w:tcPr>
            <w:tcW w:w="587" w:type="pct"/>
            <w:tcBorders>
              <w:top w:val="nil"/>
              <w:left w:val="nil"/>
              <w:bottom w:val="nil"/>
              <w:right w:val="nil"/>
            </w:tcBorders>
            <w:shd w:val="clear" w:color="auto" w:fill="auto"/>
            <w:noWrap/>
            <w:vAlign w:val="bottom"/>
          </w:tcPr>
          <w:p w14:paraId="1D1D3B20" w14:textId="008CC3C4" w:rsidR="006A2FCB" w:rsidRPr="006A2FCB" w:rsidRDefault="006A2FCB" w:rsidP="006A2FCB">
            <w:pPr>
              <w:jc w:val="right"/>
              <w:rPr>
                <w:rFonts w:ascii="Baskerville" w:eastAsia="Times New Roman" w:hAnsi="Baskerville" w:cs="Times New Roman"/>
                <w:color w:val="000000"/>
                <w:sz w:val="22"/>
                <w:szCs w:val="22"/>
                <w:lang w:val="en-CA"/>
              </w:rPr>
            </w:pPr>
            <w:r w:rsidRPr="006A2FCB">
              <w:rPr>
                <w:rFonts w:ascii="Baskerville" w:eastAsia="Times New Roman" w:hAnsi="Baskerville" w:cs="Times New Roman"/>
                <w:color w:val="000000"/>
                <w:sz w:val="22"/>
                <w:szCs w:val="22"/>
                <w:lang w:val="en-CA"/>
              </w:rPr>
              <w:t>5</w:t>
            </w:r>
          </w:p>
        </w:tc>
        <w:tc>
          <w:tcPr>
            <w:tcW w:w="883" w:type="pct"/>
            <w:tcBorders>
              <w:top w:val="nil"/>
              <w:left w:val="nil"/>
              <w:bottom w:val="nil"/>
              <w:right w:val="nil"/>
            </w:tcBorders>
            <w:shd w:val="clear" w:color="auto" w:fill="auto"/>
            <w:noWrap/>
            <w:vAlign w:val="bottom"/>
          </w:tcPr>
          <w:p w14:paraId="0571F200" w14:textId="333EE4CF" w:rsidR="006A2FCB" w:rsidRPr="006A2FCB" w:rsidRDefault="006A2FCB" w:rsidP="006A2FCB">
            <w:pPr>
              <w:jc w:val="right"/>
              <w:rPr>
                <w:rFonts w:ascii="Baskerville" w:eastAsia="Times New Roman" w:hAnsi="Baskerville" w:cs="Times New Roman"/>
                <w:color w:val="000000"/>
                <w:sz w:val="22"/>
                <w:szCs w:val="22"/>
                <w:lang w:val="en-CA"/>
              </w:rPr>
            </w:pPr>
            <w:r w:rsidRPr="006A2FCB">
              <w:rPr>
                <w:rFonts w:ascii="Baskerville" w:eastAsia="Times New Roman" w:hAnsi="Baskerville" w:cs="Times New Roman"/>
                <w:color w:val="333333"/>
                <w:sz w:val="22"/>
                <w:szCs w:val="22"/>
                <w:lang w:val="en-CA"/>
              </w:rPr>
              <w:t>$500,162</w:t>
            </w:r>
          </w:p>
        </w:tc>
        <w:tc>
          <w:tcPr>
            <w:tcW w:w="657" w:type="pct"/>
            <w:tcBorders>
              <w:top w:val="nil"/>
              <w:left w:val="nil"/>
              <w:bottom w:val="nil"/>
              <w:right w:val="single" w:sz="4" w:space="0" w:color="000000"/>
            </w:tcBorders>
            <w:shd w:val="clear" w:color="auto" w:fill="auto"/>
            <w:noWrap/>
            <w:vAlign w:val="bottom"/>
          </w:tcPr>
          <w:p w14:paraId="7F5DA663" w14:textId="0EDCB24B" w:rsidR="006A2FCB" w:rsidRPr="006A2FCB" w:rsidRDefault="006A2FCB" w:rsidP="006A2FCB">
            <w:pPr>
              <w:jc w:val="right"/>
              <w:rPr>
                <w:rFonts w:ascii="Baskerville" w:eastAsia="Times New Roman" w:hAnsi="Baskerville" w:cs="Times New Roman"/>
                <w:color w:val="000000"/>
                <w:sz w:val="22"/>
                <w:szCs w:val="22"/>
                <w:lang w:val="en-CA"/>
              </w:rPr>
            </w:pPr>
            <w:r w:rsidRPr="006A2FCB">
              <w:rPr>
                <w:rFonts w:ascii="Baskerville" w:eastAsia="Times New Roman" w:hAnsi="Baskerville" w:cs="Times New Roman"/>
                <w:color w:val="333333"/>
                <w:sz w:val="22"/>
                <w:szCs w:val="22"/>
                <w:lang w:val="en-CA"/>
              </w:rPr>
              <w:t>$603,124</w:t>
            </w:r>
          </w:p>
        </w:tc>
      </w:tr>
      <w:tr w:rsidR="006A2FCB" w:rsidRPr="0045705A" w14:paraId="25DD0499" w14:textId="77777777" w:rsidTr="00406992">
        <w:trPr>
          <w:trHeight w:val="380"/>
        </w:trPr>
        <w:tc>
          <w:tcPr>
            <w:tcW w:w="1324" w:type="pct"/>
            <w:tcBorders>
              <w:top w:val="nil"/>
              <w:left w:val="single" w:sz="4" w:space="0" w:color="000000"/>
              <w:bottom w:val="nil"/>
              <w:right w:val="single" w:sz="4" w:space="0" w:color="000000"/>
            </w:tcBorders>
            <w:shd w:val="clear" w:color="D9D9D9" w:fill="D9D9D9"/>
            <w:vAlign w:val="bottom"/>
            <w:hideMark/>
          </w:tcPr>
          <w:p w14:paraId="0F241FCC"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FHLBank Boston</w:t>
            </w:r>
          </w:p>
        </w:tc>
        <w:tc>
          <w:tcPr>
            <w:tcW w:w="882" w:type="pct"/>
            <w:tcBorders>
              <w:top w:val="nil"/>
              <w:left w:val="single" w:sz="4" w:space="0" w:color="000000"/>
              <w:bottom w:val="nil"/>
              <w:right w:val="nil"/>
            </w:tcBorders>
            <w:shd w:val="clear" w:color="D9D9D9" w:fill="D9D9D9"/>
            <w:noWrap/>
            <w:vAlign w:val="bottom"/>
            <w:hideMark/>
          </w:tcPr>
          <w:p w14:paraId="77E47E64"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$2,009,612</w:t>
            </w:r>
          </w:p>
        </w:tc>
        <w:tc>
          <w:tcPr>
            <w:tcW w:w="667" w:type="pct"/>
            <w:tcBorders>
              <w:top w:val="nil"/>
              <w:left w:val="nil"/>
              <w:bottom w:val="nil"/>
              <w:right w:val="nil"/>
            </w:tcBorders>
            <w:shd w:val="clear" w:color="D9D9D9" w:fill="D9D9D9"/>
            <w:noWrap/>
            <w:vAlign w:val="bottom"/>
            <w:hideMark/>
          </w:tcPr>
          <w:p w14:paraId="13D1C5C1"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188</w:t>
            </w:r>
          </w:p>
        </w:tc>
        <w:tc>
          <w:tcPr>
            <w:tcW w:w="587" w:type="pct"/>
            <w:tcBorders>
              <w:top w:val="nil"/>
              <w:left w:val="nil"/>
              <w:bottom w:val="nil"/>
              <w:right w:val="nil"/>
            </w:tcBorders>
            <w:shd w:val="clear" w:color="D9D9D9" w:fill="D9D9D9"/>
            <w:noWrap/>
            <w:vAlign w:val="bottom"/>
            <w:hideMark/>
          </w:tcPr>
          <w:p w14:paraId="719C4784"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0</w:t>
            </w:r>
          </w:p>
        </w:tc>
        <w:tc>
          <w:tcPr>
            <w:tcW w:w="883" w:type="pct"/>
            <w:tcBorders>
              <w:top w:val="nil"/>
              <w:left w:val="nil"/>
              <w:bottom w:val="nil"/>
              <w:right w:val="nil"/>
            </w:tcBorders>
            <w:shd w:val="clear" w:color="D9D9D9" w:fill="D9D9D9"/>
            <w:noWrap/>
            <w:vAlign w:val="bottom"/>
            <w:hideMark/>
          </w:tcPr>
          <w:p w14:paraId="13707AF5" w14:textId="19D59AD2"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$91,</w:t>
            </w:r>
            <w:r>
              <w:rPr>
                <w:rFonts w:ascii="Baskerville" w:eastAsia="Times New Roman" w:hAnsi="Baskerville" w:cs="Times New Roman"/>
                <w:color w:val="000000"/>
                <w:sz w:val="22"/>
                <w:szCs w:val="22"/>
                <w:lang w:val="en-CA"/>
              </w:rPr>
              <w:t>000</w:t>
            </w:r>
          </w:p>
        </w:tc>
        <w:tc>
          <w:tcPr>
            <w:tcW w:w="657" w:type="pct"/>
            <w:tcBorders>
              <w:top w:val="nil"/>
              <w:left w:val="nil"/>
              <w:bottom w:val="nil"/>
              <w:right w:val="single" w:sz="4" w:space="0" w:color="000000"/>
            </w:tcBorders>
            <w:shd w:val="clear" w:color="D9D9D9" w:fill="D9D9D9"/>
            <w:noWrap/>
            <w:vAlign w:val="bottom"/>
            <w:hideMark/>
          </w:tcPr>
          <w:p w14:paraId="5D29C0F9" w14:textId="29A25F9C"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w:t>
            </w:r>
            <w:r>
              <w:rPr>
                <w:rFonts w:ascii="Baskerville" w:eastAsia="Times New Roman" w:hAnsi="Baskerville" w:cs="Times New Roman"/>
                <w:color w:val="000000"/>
                <w:sz w:val="22"/>
                <w:szCs w:val="22"/>
                <w:lang w:val="en-CA"/>
              </w:rPr>
              <w:t>62,898</w:t>
            </w:r>
          </w:p>
        </w:tc>
      </w:tr>
      <w:tr w:rsidR="006A2FCB" w:rsidRPr="0045705A" w14:paraId="5DDAF1A6" w14:textId="77777777" w:rsidTr="00406992">
        <w:trPr>
          <w:trHeight w:val="380"/>
        </w:trPr>
        <w:tc>
          <w:tcPr>
            <w:tcW w:w="1324" w:type="pct"/>
            <w:tcBorders>
              <w:top w:val="nil"/>
              <w:left w:val="single" w:sz="4" w:space="0" w:color="000000"/>
              <w:bottom w:val="nil"/>
              <w:right w:val="single" w:sz="4" w:space="0" w:color="000000"/>
            </w:tcBorders>
            <w:shd w:val="clear" w:color="auto" w:fill="auto"/>
            <w:vAlign w:val="bottom"/>
            <w:hideMark/>
          </w:tcPr>
          <w:p w14:paraId="2B0629E4"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Fed Bank Boston</w:t>
            </w:r>
          </w:p>
        </w:tc>
        <w:tc>
          <w:tcPr>
            <w:tcW w:w="882" w:type="pct"/>
            <w:tcBorders>
              <w:top w:val="nil"/>
              <w:left w:val="single" w:sz="4" w:space="0" w:color="000000"/>
              <w:bottom w:val="nil"/>
              <w:right w:val="nil"/>
            </w:tcBorders>
            <w:shd w:val="clear" w:color="auto" w:fill="auto"/>
            <w:noWrap/>
            <w:vAlign w:val="bottom"/>
            <w:hideMark/>
          </w:tcPr>
          <w:p w14:paraId="2681CE2C"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$462,365</w:t>
            </w:r>
          </w:p>
        </w:tc>
        <w:tc>
          <w:tcPr>
            <w:tcW w:w="667" w:type="pct"/>
            <w:tcBorders>
              <w:top w:val="nil"/>
              <w:left w:val="nil"/>
              <w:bottom w:val="nil"/>
              <w:right w:val="nil"/>
            </w:tcBorders>
            <w:shd w:val="clear" w:color="auto" w:fill="auto"/>
            <w:noWrap/>
            <w:vAlign w:val="bottom"/>
            <w:hideMark/>
          </w:tcPr>
          <w:p w14:paraId="5CCF2641"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1,273</w:t>
            </w:r>
          </w:p>
        </w:tc>
        <w:tc>
          <w:tcPr>
            <w:tcW w:w="587" w:type="pct"/>
            <w:tcBorders>
              <w:top w:val="nil"/>
              <w:left w:val="nil"/>
              <w:bottom w:val="nil"/>
              <w:right w:val="nil"/>
            </w:tcBorders>
            <w:shd w:val="clear" w:color="auto" w:fill="auto"/>
            <w:noWrap/>
            <w:vAlign w:val="bottom"/>
            <w:hideMark/>
          </w:tcPr>
          <w:p w14:paraId="11FB7544"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0</w:t>
            </w:r>
          </w:p>
        </w:tc>
        <w:tc>
          <w:tcPr>
            <w:tcW w:w="883" w:type="pct"/>
            <w:tcBorders>
              <w:top w:val="nil"/>
              <w:left w:val="nil"/>
              <w:bottom w:val="nil"/>
              <w:right w:val="nil"/>
            </w:tcBorders>
            <w:shd w:val="clear" w:color="auto" w:fill="auto"/>
            <w:noWrap/>
            <w:vAlign w:val="bottom"/>
            <w:hideMark/>
          </w:tcPr>
          <w:p w14:paraId="76CE6986"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$408,332</w:t>
            </w:r>
          </w:p>
        </w:tc>
        <w:tc>
          <w:tcPr>
            <w:tcW w:w="657" w:type="pct"/>
            <w:tcBorders>
              <w:top w:val="nil"/>
              <w:left w:val="nil"/>
              <w:bottom w:val="nil"/>
              <w:right w:val="single" w:sz="4" w:space="0" w:color="000000"/>
            </w:tcBorders>
            <w:shd w:val="clear" w:color="auto" w:fill="auto"/>
            <w:noWrap/>
            <w:vAlign w:val="bottom"/>
            <w:hideMark/>
          </w:tcPr>
          <w:p w14:paraId="67B31FE1"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$222,488</w:t>
            </w:r>
          </w:p>
        </w:tc>
      </w:tr>
      <w:tr w:rsidR="006A2FCB" w:rsidRPr="0045705A" w14:paraId="563F5FB6" w14:textId="77777777" w:rsidTr="00406992">
        <w:trPr>
          <w:trHeight w:val="380"/>
        </w:trPr>
        <w:tc>
          <w:tcPr>
            <w:tcW w:w="1324" w:type="pct"/>
            <w:tcBorders>
              <w:top w:val="nil"/>
              <w:left w:val="single" w:sz="4" w:space="0" w:color="000000"/>
              <w:bottom w:val="nil"/>
              <w:right w:val="single" w:sz="4" w:space="0" w:color="000000"/>
            </w:tcBorders>
            <w:shd w:val="clear" w:color="D9D9D9" w:fill="D9D9D9"/>
            <w:vAlign w:val="bottom"/>
            <w:hideMark/>
          </w:tcPr>
          <w:p w14:paraId="33755143"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FHLBank Chicago</w:t>
            </w:r>
          </w:p>
        </w:tc>
        <w:tc>
          <w:tcPr>
            <w:tcW w:w="882" w:type="pct"/>
            <w:tcBorders>
              <w:top w:val="nil"/>
              <w:left w:val="single" w:sz="4" w:space="0" w:color="000000"/>
              <w:bottom w:val="nil"/>
              <w:right w:val="nil"/>
            </w:tcBorders>
            <w:shd w:val="clear" w:color="D9D9D9" w:fill="D9D9D9"/>
            <w:noWrap/>
            <w:vAlign w:val="bottom"/>
            <w:hideMark/>
          </w:tcPr>
          <w:p w14:paraId="36BB36A8"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$1,634,547</w:t>
            </w:r>
          </w:p>
        </w:tc>
        <w:tc>
          <w:tcPr>
            <w:tcW w:w="667" w:type="pct"/>
            <w:tcBorders>
              <w:top w:val="nil"/>
              <w:left w:val="nil"/>
              <w:bottom w:val="nil"/>
              <w:right w:val="nil"/>
            </w:tcBorders>
            <w:shd w:val="clear" w:color="D9D9D9" w:fill="D9D9D9"/>
            <w:noWrap/>
            <w:vAlign w:val="bottom"/>
            <w:hideMark/>
          </w:tcPr>
          <w:p w14:paraId="472C912A"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495</w:t>
            </w:r>
          </w:p>
        </w:tc>
        <w:tc>
          <w:tcPr>
            <w:tcW w:w="587" w:type="pct"/>
            <w:tcBorders>
              <w:top w:val="nil"/>
              <w:left w:val="nil"/>
              <w:bottom w:val="nil"/>
              <w:right w:val="nil"/>
            </w:tcBorders>
            <w:shd w:val="clear" w:color="D9D9D9" w:fill="D9D9D9"/>
            <w:noWrap/>
            <w:vAlign w:val="bottom"/>
            <w:hideMark/>
          </w:tcPr>
          <w:p w14:paraId="13C9D2B3"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0</w:t>
            </w:r>
          </w:p>
        </w:tc>
        <w:tc>
          <w:tcPr>
            <w:tcW w:w="883" w:type="pct"/>
            <w:tcBorders>
              <w:top w:val="nil"/>
              <w:left w:val="nil"/>
              <w:bottom w:val="nil"/>
              <w:right w:val="nil"/>
            </w:tcBorders>
            <w:shd w:val="clear" w:color="D9D9D9" w:fill="D9D9D9"/>
            <w:noWrap/>
            <w:vAlign w:val="bottom"/>
            <w:hideMark/>
          </w:tcPr>
          <w:p w14:paraId="40A4D9B8"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$244,000</w:t>
            </w:r>
          </w:p>
        </w:tc>
        <w:tc>
          <w:tcPr>
            <w:tcW w:w="657" w:type="pct"/>
            <w:tcBorders>
              <w:top w:val="nil"/>
              <w:left w:val="nil"/>
              <w:bottom w:val="nil"/>
              <w:right w:val="single" w:sz="4" w:space="0" w:color="000000"/>
            </w:tcBorders>
            <w:shd w:val="clear" w:color="D9D9D9" w:fill="D9D9D9"/>
            <w:noWrap/>
            <w:vAlign w:val="bottom"/>
            <w:hideMark/>
          </w:tcPr>
          <w:p w14:paraId="0F4146A2" w14:textId="11F9001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w:t>
            </w:r>
            <w:r>
              <w:rPr>
                <w:rFonts w:ascii="Baskerville" w:eastAsia="Times New Roman" w:hAnsi="Baskerville" w:cs="Times New Roman"/>
                <w:color w:val="000000"/>
                <w:sz w:val="22"/>
                <w:szCs w:val="22"/>
                <w:lang w:val="en-CA"/>
              </w:rPr>
              <w:t>126,853</w:t>
            </w:r>
          </w:p>
        </w:tc>
      </w:tr>
      <w:tr w:rsidR="006A2FCB" w:rsidRPr="0045705A" w14:paraId="66043653" w14:textId="77777777" w:rsidTr="00406992">
        <w:trPr>
          <w:trHeight w:val="380"/>
        </w:trPr>
        <w:tc>
          <w:tcPr>
            <w:tcW w:w="1324" w:type="pct"/>
            <w:tcBorders>
              <w:top w:val="nil"/>
              <w:left w:val="single" w:sz="4" w:space="0" w:color="000000"/>
              <w:bottom w:val="nil"/>
              <w:right w:val="single" w:sz="4" w:space="0" w:color="000000"/>
            </w:tcBorders>
            <w:shd w:val="clear" w:color="auto" w:fill="auto"/>
            <w:vAlign w:val="bottom"/>
            <w:hideMark/>
          </w:tcPr>
          <w:p w14:paraId="58479F0F"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Fed Bank Chicago</w:t>
            </w:r>
          </w:p>
        </w:tc>
        <w:tc>
          <w:tcPr>
            <w:tcW w:w="882" w:type="pct"/>
            <w:tcBorders>
              <w:top w:val="nil"/>
              <w:left w:val="single" w:sz="4" w:space="0" w:color="000000"/>
              <w:bottom w:val="nil"/>
              <w:right w:val="nil"/>
            </w:tcBorders>
            <w:shd w:val="clear" w:color="auto" w:fill="auto"/>
            <w:noWrap/>
            <w:vAlign w:val="bottom"/>
            <w:hideMark/>
          </w:tcPr>
          <w:p w14:paraId="4EADE966"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$477,900</w:t>
            </w:r>
          </w:p>
        </w:tc>
        <w:tc>
          <w:tcPr>
            <w:tcW w:w="667" w:type="pct"/>
            <w:tcBorders>
              <w:top w:val="nil"/>
              <w:left w:val="nil"/>
              <w:bottom w:val="nil"/>
              <w:right w:val="nil"/>
            </w:tcBorders>
            <w:shd w:val="clear" w:color="auto" w:fill="auto"/>
            <w:noWrap/>
            <w:vAlign w:val="bottom"/>
            <w:hideMark/>
          </w:tcPr>
          <w:p w14:paraId="00DFDDED"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1,679</w:t>
            </w:r>
          </w:p>
        </w:tc>
        <w:tc>
          <w:tcPr>
            <w:tcW w:w="587" w:type="pct"/>
            <w:tcBorders>
              <w:top w:val="nil"/>
              <w:left w:val="nil"/>
              <w:bottom w:val="nil"/>
              <w:right w:val="nil"/>
            </w:tcBorders>
            <w:shd w:val="clear" w:color="auto" w:fill="auto"/>
            <w:noWrap/>
            <w:vAlign w:val="bottom"/>
            <w:hideMark/>
          </w:tcPr>
          <w:p w14:paraId="275187D8"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w:t>
            </w:r>
          </w:p>
        </w:tc>
        <w:tc>
          <w:tcPr>
            <w:tcW w:w="883" w:type="pct"/>
            <w:tcBorders>
              <w:top w:val="nil"/>
              <w:left w:val="nil"/>
              <w:bottom w:val="nil"/>
              <w:right w:val="nil"/>
            </w:tcBorders>
            <w:shd w:val="clear" w:color="auto" w:fill="auto"/>
            <w:noWrap/>
            <w:vAlign w:val="bottom"/>
            <w:hideMark/>
          </w:tcPr>
          <w:p w14:paraId="7DD52C87"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$482,900</w:t>
            </w:r>
          </w:p>
        </w:tc>
        <w:tc>
          <w:tcPr>
            <w:tcW w:w="657" w:type="pct"/>
            <w:tcBorders>
              <w:top w:val="nil"/>
              <w:left w:val="nil"/>
              <w:bottom w:val="nil"/>
              <w:right w:val="single" w:sz="4" w:space="0" w:color="000000"/>
            </w:tcBorders>
            <w:shd w:val="clear" w:color="auto" w:fill="auto"/>
            <w:noWrap/>
            <w:vAlign w:val="bottom"/>
            <w:hideMark/>
          </w:tcPr>
          <w:p w14:paraId="761A322F"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$578,801</w:t>
            </w:r>
          </w:p>
        </w:tc>
      </w:tr>
      <w:tr w:rsidR="006A2FCB" w:rsidRPr="0045705A" w14:paraId="1D2C8A2E" w14:textId="77777777" w:rsidTr="00406992">
        <w:trPr>
          <w:trHeight w:val="380"/>
        </w:trPr>
        <w:tc>
          <w:tcPr>
            <w:tcW w:w="1324" w:type="pct"/>
            <w:tcBorders>
              <w:top w:val="nil"/>
              <w:left w:val="single" w:sz="4" w:space="0" w:color="000000"/>
              <w:bottom w:val="nil"/>
              <w:right w:val="single" w:sz="4" w:space="0" w:color="000000"/>
            </w:tcBorders>
            <w:shd w:val="clear" w:color="D9D9D9" w:fill="D9D9D9"/>
            <w:vAlign w:val="bottom"/>
            <w:hideMark/>
          </w:tcPr>
          <w:p w14:paraId="4AA4F4BB"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FHLBank Dallas</w:t>
            </w:r>
          </w:p>
        </w:tc>
        <w:tc>
          <w:tcPr>
            <w:tcW w:w="882" w:type="pct"/>
            <w:tcBorders>
              <w:top w:val="nil"/>
              <w:left w:val="single" w:sz="4" w:space="0" w:color="000000"/>
              <w:bottom w:val="nil"/>
              <w:right w:val="nil"/>
            </w:tcBorders>
            <w:shd w:val="clear" w:color="D9D9D9" w:fill="D9D9D9"/>
            <w:noWrap/>
            <w:vAlign w:val="bottom"/>
            <w:hideMark/>
          </w:tcPr>
          <w:p w14:paraId="354D76F6"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$1,790,916</w:t>
            </w:r>
          </w:p>
        </w:tc>
        <w:tc>
          <w:tcPr>
            <w:tcW w:w="667" w:type="pct"/>
            <w:tcBorders>
              <w:top w:val="nil"/>
              <w:left w:val="nil"/>
              <w:bottom w:val="nil"/>
              <w:right w:val="nil"/>
            </w:tcBorders>
            <w:shd w:val="clear" w:color="D9D9D9" w:fill="D9D9D9"/>
            <w:noWrap/>
            <w:vAlign w:val="bottom"/>
            <w:hideMark/>
          </w:tcPr>
          <w:p w14:paraId="77D98AB7"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201</w:t>
            </w:r>
          </w:p>
        </w:tc>
        <w:tc>
          <w:tcPr>
            <w:tcW w:w="587" w:type="pct"/>
            <w:tcBorders>
              <w:top w:val="nil"/>
              <w:left w:val="nil"/>
              <w:bottom w:val="nil"/>
              <w:right w:val="nil"/>
            </w:tcBorders>
            <w:shd w:val="clear" w:color="D9D9D9" w:fill="D9D9D9"/>
            <w:noWrap/>
            <w:vAlign w:val="bottom"/>
            <w:hideMark/>
          </w:tcPr>
          <w:p w14:paraId="6FAB7607"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0</w:t>
            </w:r>
          </w:p>
        </w:tc>
        <w:tc>
          <w:tcPr>
            <w:tcW w:w="883" w:type="pct"/>
            <w:tcBorders>
              <w:top w:val="nil"/>
              <w:left w:val="nil"/>
              <w:bottom w:val="nil"/>
              <w:right w:val="nil"/>
            </w:tcBorders>
            <w:shd w:val="clear" w:color="D9D9D9" w:fill="D9D9D9"/>
            <w:noWrap/>
            <w:vAlign w:val="bottom"/>
            <w:hideMark/>
          </w:tcPr>
          <w:p w14:paraId="1FDBEBCC" w14:textId="3E565420"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$10</w:t>
            </w:r>
            <w:r>
              <w:rPr>
                <w:rFonts w:ascii="Baskerville" w:eastAsia="Times New Roman" w:hAnsi="Baskerville" w:cs="Times New Roman"/>
                <w:color w:val="000000"/>
                <w:sz w:val="22"/>
                <w:szCs w:val="22"/>
                <w:lang w:val="en-CA"/>
              </w:rPr>
              <w:t>2</w:t>
            </w:r>
            <w:r w:rsidRPr="00406992">
              <w:rPr>
                <w:rFonts w:ascii="Baskerville" w:eastAsia="Times New Roman" w:hAnsi="Baskerville" w:cs="Times New Roman"/>
                <w:color w:val="000000"/>
                <w:sz w:val="22"/>
                <w:szCs w:val="22"/>
                <w:lang w:val="en-CA"/>
              </w:rPr>
              <w:t>,</w:t>
            </w:r>
            <w:r>
              <w:rPr>
                <w:rFonts w:ascii="Baskerville" w:eastAsia="Times New Roman" w:hAnsi="Baskerville" w:cs="Times New Roman"/>
                <w:color w:val="000000"/>
                <w:sz w:val="22"/>
                <w:szCs w:val="22"/>
                <w:lang w:val="en-CA"/>
              </w:rPr>
              <w:t>000</w:t>
            </w:r>
          </w:p>
        </w:tc>
        <w:tc>
          <w:tcPr>
            <w:tcW w:w="657" w:type="pct"/>
            <w:tcBorders>
              <w:top w:val="nil"/>
              <w:left w:val="nil"/>
              <w:bottom w:val="nil"/>
              <w:right w:val="single" w:sz="4" w:space="0" w:color="000000"/>
            </w:tcBorders>
            <w:shd w:val="clear" w:color="D9D9D9" w:fill="D9D9D9"/>
            <w:noWrap/>
            <w:vAlign w:val="bottom"/>
            <w:hideMark/>
          </w:tcPr>
          <w:p w14:paraId="52F1B152" w14:textId="6F669CBE"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w:t>
            </w:r>
            <w:r>
              <w:rPr>
                <w:rFonts w:ascii="Baskerville" w:eastAsia="Times New Roman" w:hAnsi="Baskerville" w:cs="Times New Roman"/>
                <w:color w:val="000000"/>
                <w:sz w:val="22"/>
                <w:szCs w:val="22"/>
                <w:lang w:val="en-CA"/>
              </w:rPr>
              <w:t>114,349</w:t>
            </w:r>
          </w:p>
        </w:tc>
      </w:tr>
      <w:tr w:rsidR="006A2FCB" w:rsidRPr="0045705A" w14:paraId="0AB87065" w14:textId="77777777" w:rsidTr="00406992">
        <w:trPr>
          <w:trHeight w:val="380"/>
        </w:trPr>
        <w:tc>
          <w:tcPr>
            <w:tcW w:w="1324" w:type="pct"/>
            <w:tcBorders>
              <w:top w:val="nil"/>
              <w:left w:val="single" w:sz="4" w:space="0" w:color="000000"/>
              <w:bottom w:val="nil"/>
              <w:right w:val="single" w:sz="4" w:space="0" w:color="000000"/>
            </w:tcBorders>
            <w:shd w:val="clear" w:color="auto" w:fill="auto"/>
            <w:vAlign w:val="bottom"/>
            <w:hideMark/>
          </w:tcPr>
          <w:p w14:paraId="50BDD60F"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Fed Bank Dallas</w:t>
            </w:r>
          </w:p>
        </w:tc>
        <w:tc>
          <w:tcPr>
            <w:tcW w:w="882" w:type="pct"/>
            <w:tcBorders>
              <w:top w:val="nil"/>
              <w:left w:val="single" w:sz="4" w:space="0" w:color="000000"/>
              <w:bottom w:val="nil"/>
              <w:right w:val="nil"/>
            </w:tcBorders>
            <w:shd w:val="clear" w:color="auto" w:fill="auto"/>
            <w:noWrap/>
            <w:vAlign w:val="bottom"/>
            <w:hideMark/>
          </w:tcPr>
          <w:p w14:paraId="1DC9E501"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$440,600</w:t>
            </w:r>
          </w:p>
        </w:tc>
        <w:tc>
          <w:tcPr>
            <w:tcW w:w="667" w:type="pct"/>
            <w:tcBorders>
              <w:top w:val="nil"/>
              <w:left w:val="nil"/>
              <w:bottom w:val="nil"/>
              <w:right w:val="nil"/>
            </w:tcBorders>
            <w:shd w:val="clear" w:color="auto" w:fill="auto"/>
            <w:noWrap/>
            <w:vAlign w:val="bottom"/>
            <w:hideMark/>
          </w:tcPr>
          <w:p w14:paraId="65630BE3"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1,303</w:t>
            </w:r>
          </w:p>
        </w:tc>
        <w:tc>
          <w:tcPr>
            <w:tcW w:w="587" w:type="pct"/>
            <w:tcBorders>
              <w:top w:val="nil"/>
              <w:left w:val="nil"/>
              <w:bottom w:val="nil"/>
              <w:right w:val="nil"/>
            </w:tcBorders>
            <w:shd w:val="clear" w:color="auto" w:fill="auto"/>
            <w:noWrap/>
            <w:vAlign w:val="bottom"/>
            <w:hideMark/>
          </w:tcPr>
          <w:p w14:paraId="23CBE9F8"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3</w:t>
            </w:r>
          </w:p>
        </w:tc>
        <w:tc>
          <w:tcPr>
            <w:tcW w:w="883" w:type="pct"/>
            <w:tcBorders>
              <w:top w:val="nil"/>
              <w:left w:val="nil"/>
              <w:bottom w:val="nil"/>
              <w:right w:val="nil"/>
            </w:tcBorders>
            <w:shd w:val="clear" w:color="auto" w:fill="auto"/>
            <w:noWrap/>
            <w:vAlign w:val="bottom"/>
            <w:hideMark/>
          </w:tcPr>
          <w:p w14:paraId="60DB9526"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$266,322</w:t>
            </w:r>
          </w:p>
        </w:tc>
        <w:tc>
          <w:tcPr>
            <w:tcW w:w="657" w:type="pct"/>
            <w:tcBorders>
              <w:top w:val="nil"/>
              <w:left w:val="nil"/>
              <w:bottom w:val="nil"/>
              <w:right w:val="single" w:sz="4" w:space="0" w:color="000000"/>
            </w:tcBorders>
            <w:shd w:val="clear" w:color="auto" w:fill="auto"/>
            <w:noWrap/>
            <w:vAlign w:val="bottom"/>
            <w:hideMark/>
          </w:tcPr>
          <w:p w14:paraId="62F5CCA3"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$431,596</w:t>
            </w:r>
          </w:p>
        </w:tc>
      </w:tr>
      <w:tr w:rsidR="006A2FCB" w:rsidRPr="0045705A" w14:paraId="1787DBF2" w14:textId="77777777" w:rsidTr="00406992">
        <w:trPr>
          <w:trHeight w:val="380"/>
        </w:trPr>
        <w:tc>
          <w:tcPr>
            <w:tcW w:w="1324" w:type="pct"/>
            <w:tcBorders>
              <w:top w:val="nil"/>
              <w:left w:val="single" w:sz="4" w:space="0" w:color="000000"/>
              <w:bottom w:val="nil"/>
              <w:right w:val="single" w:sz="4" w:space="0" w:color="000000"/>
            </w:tcBorders>
            <w:shd w:val="clear" w:color="D9D9D9" w:fill="D9D9D9"/>
            <w:vAlign w:val="bottom"/>
            <w:hideMark/>
          </w:tcPr>
          <w:p w14:paraId="60BC8ABC"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FHLBank New York</w:t>
            </w:r>
          </w:p>
        </w:tc>
        <w:tc>
          <w:tcPr>
            <w:tcW w:w="882" w:type="pct"/>
            <w:tcBorders>
              <w:top w:val="nil"/>
              <w:left w:val="single" w:sz="4" w:space="0" w:color="000000"/>
              <w:bottom w:val="nil"/>
              <w:right w:val="nil"/>
            </w:tcBorders>
            <w:shd w:val="clear" w:color="D9D9D9" w:fill="D9D9D9"/>
            <w:noWrap/>
            <w:vAlign w:val="bottom"/>
            <w:hideMark/>
          </w:tcPr>
          <w:p w14:paraId="3C234968"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$2,321,427</w:t>
            </w:r>
          </w:p>
        </w:tc>
        <w:tc>
          <w:tcPr>
            <w:tcW w:w="667" w:type="pct"/>
            <w:tcBorders>
              <w:top w:val="nil"/>
              <w:left w:val="nil"/>
              <w:bottom w:val="nil"/>
              <w:right w:val="nil"/>
            </w:tcBorders>
            <w:shd w:val="clear" w:color="D9D9D9" w:fill="D9D9D9"/>
            <w:noWrap/>
            <w:vAlign w:val="bottom"/>
            <w:hideMark/>
          </w:tcPr>
          <w:p w14:paraId="30C3DEF8"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327</w:t>
            </w:r>
          </w:p>
        </w:tc>
        <w:tc>
          <w:tcPr>
            <w:tcW w:w="587" w:type="pct"/>
            <w:tcBorders>
              <w:top w:val="nil"/>
              <w:left w:val="nil"/>
              <w:bottom w:val="nil"/>
              <w:right w:val="nil"/>
            </w:tcBorders>
            <w:shd w:val="clear" w:color="D9D9D9" w:fill="D9D9D9"/>
            <w:noWrap/>
            <w:vAlign w:val="bottom"/>
            <w:hideMark/>
          </w:tcPr>
          <w:p w14:paraId="654D8ECF"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0</w:t>
            </w:r>
          </w:p>
        </w:tc>
        <w:tc>
          <w:tcPr>
            <w:tcW w:w="883" w:type="pct"/>
            <w:tcBorders>
              <w:top w:val="nil"/>
              <w:left w:val="nil"/>
              <w:bottom w:val="nil"/>
              <w:right w:val="nil"/>
            </w:tcBorders>
            <w:shd w:val="clear" w:color="D9D9D9" w:fill="D9D9D9"/>
            <w:noWrap/>
            <w:vAlign w:val="bottom"/>
            <w:hideMark/>
          </w:tcPr>
          <w:p w14:paraId="6B6C764F" w14:textId="669A37A5"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w:t>
            </w:r>
            <w:r>
              <w:rPr>
                <w:rFonts w:ascii="Baskerville" w:eastAsia="Times New Roman" w:hAnsi="Baskerville" w:cs="Times New Roman"/>
                <w:color w:val="000000"/>
                <w:sz w:val="22"/>
                <w:szCs w:val="22"/>
                <w:lang w:val="en-CA"/>
              </w:rPr>
              <w:t>200,000</w:t>
            </w:r>
          </w:p>
        </w:tc>
        <w:tc>
          <w:tcPr>
            <w:tcW w:w="657" w:type="pct"/>
            <w:tcBorders>
              <w:top w:val="nil"/>
              <w:left w:val="nil"/>
              <w:bottom w:val="nil"/>
              <w:right w:val="single" w:sz="4" w:space="0" w:color="000000"/>
            </w:tcBorders>
            <w:shd w:val="clear" w:color="D9D9D9" w:fill="D9D9D9"/>
            <w:noWrap/>
            <w:vAlign w:val="bottom"/>
            <w:hideMark/>
          </w:tcPr>
          <w:p w14:paraId="3B03B01B" w14:textId="79CA4F43"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w:t>
            </w:r>
            <w:r>
              <w:rPr>
                <w:rFonts w:ascii="Baskerville" w:eastAsia="Times New Roman" w:hAnsi="Baskerville" w:cs="Times New Roman"/>
                <w:color w:val="000000"/>
                <w:sz w:val="22"/>
                <w:szCs w:val="22"/>
                <w:lang w:val="en-CA"/>
              </w:rPr>
              <w:t>157,391</w:t>
            </w:r>
          </w:p>
        </w:tc>
      </w:tr>
      <w:tr w:rsidR="006A2FCB" w:rsidRPr="0045705A" w14:paraId="3D27AB90" w14:textId="77777777" w:rsidTr="00406992">
        <w:trPr>
          <w:trHeight w:val="380"/>
        </w:trPr>
        <w:tc>
          <w:tcPr>
            <w:tcW w:w="1324" w:type="pct"/>
            <w:tcBorders>
              <w:top w:val="nil"/>
              <w:left w:val="single" w:sz="4" w:space="0" w:color="000000"/>
              <w:bottom w:val="nil"/>
              <w:right w:val="single" w:sz="4" w:space="0" w:color="000000"/>
            </w:tcBorders>
            <w:shd w:val="clear" w:color="auto" w:fill="auto"/>
            <w:vAlign w:val="bottom"/>
            <w:hideMark/>
          </w:tcPr>
          <w:p w14:paraId="520D881D"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Fed Bank New York</w:t>
            </w:r>
          </w:p>
        </w:tc>
        <w:tc>
          <w:tcPr>
            <w:tcW w:w="882" w:type="pct"/>
            <w:tcBorders>
              <w:top w:val="nil"/>
              <w:left w:val="single" w:sz="4" w:space="0" w:color="000000"/>
              <w:bottom w:val="nil"/>
              <w:right w:val="nil"/>
            </w:tcBorders>
            <w:shd w:val="clear" w:color="auto" w:fill="auto"/>
            <w:noWrap/>
            <w:vAlign w:val="bottom"/>
            <w:hideMark/>
          </w:tcPr>
          <w:p w14:paraId="6C2B9906"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$528,800</w:t>
            </w:r>
          </w:p>
        </w:tc>
        <w:tc>
          <w:tcPr>
            <w:tcW w:w="667" w:type="pct"/>
            <w:tcBorders>
              <w:top w:val="nil"/>
              <w:left w:val="nil"/>
              <w:bottom w:val="nil"/>
              <w:right w:val="nil"/>
            </w:tcBorders>
            <w:shd w:val="clear" w:color="auto" w:fill="auto"/>
            <w:noWrap/>
            <w:vAlign w:val="bottom"/>
            <w:hideMark/>
          </w:tcPr>
          <w:p w14:paraId="5F9A68E0"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2,971</w:t>
            </w:r>
          </w:p>
        </w:tc>
        <w:tc>
          <w:tcPr>
            <w:tcW w:w="587" w:type="pct"/>
            <w:tcBorders>
              <w:top w:val="nil"/>
              <w:left w:val="nil"/>
              <w:bottom w:val="nil"/>
              <w:right w:val="nil"/>
            </w:tcBorders>
            <w:shd w:val="clear" w:color="auto" w:fill="auto"/>
            <w:noWrap/>
            <w:vAlign w:val="bottom"/>
            <w:hideMark/>
          </w:tcPr>
          <w:p w14:paraId="41B63038"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0</w:t>
            </w:r>
          </w:p>
        </w:tc>
        <w:tc>
          <w:tcPr>
            <w:tcW w:w="883" w:type="pct"/>
            <w:tcBorders>
              <w:top w:val="nil"/>
              <w:left w:val="nil"/>
              <w:bottom w:val="nil"/>
              <w:right w:val="nil"/>
            </w:tcBorders>
            <w:shd w:val="clear" w:color="auto" w:fill="auto"/>
            <w:noWrap/>
            <w:vAlign w:val="bottom"/>
            <w:hideMark/>
          </w:tcPr>
          <w:p w14:paraId="05649BD4"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$2,000,955</w:t>
            </w:r>
          </w:p>
        </w:tc>
        <w:tc>
          <w:tcPr>
            <w:tcW w:w="657" w:type="pct"/>
            <w:tcBorders>
              <w:top w:val="nil"/>
              <w:left w:val="nil"/>
              <w:bottom w:val="nil"/>
              <w:right w:val="single" w:sz="4" w:space="0" w:color="000000"/>
            </w:tcBorders>
            <w:shd w:val="clear" w:color="auto" w:fill="auto"/>
            <w:noWrap/>
            <w:vAlign w:val="bottom"/>
            <w:hideMark/>
          </w:tcPr>
          <w:p w14:paraId="7FBAD26D"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$4,429,847</w:t>
            </w:r>
          </w:p>
        </w:tc>
      </w:tr>
      <w:tr w:rsidR="006A2FCB" w:rsidRPr="0045705A" w14:paraId="12ADA501" w14:textId="77777777" w:rsidTr="00406992">
        <w:trPr>
          <w:trHeight w:val="380"/>
        </w:trPr>
        <w:tc>
          <w:tcPr>
            <w:tcW w:w="1324" w:type="pct"/>
            <w:tcBorders>
              <w:top w:val="nil"/>
              <w:left w:val="single" w:sz="4" w:space="0" w:color="000000"/>
              <w:bottom w:val="nil"/>
              <w:right w:val="single" w:sz="4" w:space="0" w:color="000000"/>
            </w:tcBorders>
            <w:shd w:val="clear" w:color="D9D9D9" w:fill="D9D9D9"/>
            <w:vAlign w:val="bottom"/>
            <w:hideMark/>
          </w:tcPr>
          <w:p w14:paraId="385D572D"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FHLBank San Francisco</w:t>
            </w:r>
          </w:p>
        </w:tc>
        <w:tc>
          <w:tcPr>
            <w:tcW w:w="882" w:type="pct"/>
            <w:tcBorders>
              <w:top w:val="nil"/>
              <w:left w:val="single" w:sz="4" w:space="0" w:color="000000"/>
              <w:bottom w:val="nil"/>
              <w:right w:val="nil"/>
            </w:tcBorders>
            <w:shd w:val="clear" w:color="D9D9D9" w:fill="D9D9D9"/>
            <w:noWrap/>
            <w:vAlign w:val="bottom"/>
            <w:hideMark/>
          </w:tcPr>
          <w:p w14:paraId="6FE6191C"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$2,408,408</w:t>
            </w:r>
          </w:p>
        </w:tc>
        <w:tc>
          <w:tcPr>
            <w:tcW w:w="667" w:type="pct"/>
            <w:tcBorders>
              <w:top w:val="nil"/>
              <w:left w:val="nil"/>
              <w:bottom w:val="nil"/>
              <w:right w:val="nil"/>
            </w:tcBorders>
            <w:shd w:val="clear" w:color="D9D9D9" w:fill="D9D9D9"/>
            <w:noWrap/>
            <w:vAlign w:val="bottom"/>
            <w:hideMark/>
          </w:tcPr>
          <w:p w14:paraId="695E371D"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297</w:t>
            </w:r>
          </w:p>
        </w:tc>
        <w:tc>
          <w:tcPr>
            <w:tcW w:w="587" w:type="pct"/>
            <w:tcBorders>
              <w:top w:val="nil"/>
              <w:left w:val="nil"/>
              <w:bottom w:val="nil"/>
              <w:right w:val="nil"/>
            </w:tcBorders>
            <w:shd w:val="clear" w:color="D9D9D9" w:fill="D9D9D9"/>
            <w:noWrap/>
            <w:vAlign w:val="bottom"/>
            <w:hideMark/>
          </w:tcPr>
          <w:p w14:paraId="5E753B9C"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0</w:t>
            </w:r>
          </w:p>
        </w:tc>
        <w:tc>
          <w:tcPr>
            <w:tcW w:w="883" w:type="pct"/>
            <w:tcBorders>
              <w:top w:val="nil"/>
              <w:left w:val="nil"/>
              <w:bottom w:val="nil"/>
              <w:right w:val="nil"/>
            </w:tcBorders>
            <w:shd w:val="clear" w:color="D9D9D9" w:fill="D9D9D9"/>
            <w:noWrap/>
            <w:vAlign w:val="bottom"/>
            <w:hideMark/>
          </w:tcPr>
          <w:p w14:paraId="527CB4F9"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$162,000</w:t>
            </w:r>
          </w:p>
        </w:tc>
        <w:tc>
          <w:tcPr>
            <w:tcW w:w="657" w:type="pct"/>
            <w:tcBorders>
              <w:top w:val="nil"/>
              <w:left w:val="nil"/>
              <w:bottom w:val="nil"/>
              <w:right w:val="single" w:sz="4" w:space="0" w:color="000000"/>
            </w:tcBorders>
            <w:shd w:val="clear" w:color="D9D9D9" w:fill="D9D9D9"/>
            <w:noWrap/>
            <w:vAlign w:val="bottom"/>
            <w:hideMark/>
          </w:tcPr>
          <w:p w14:paraId="1537A47A" w14:textId="43CFA393"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w:t>
            </w:r>
            <w:r>
              <w:rPr>
                <w:rFonts w:ascii="Baskerville" w:eastAsia="Times New Roman" w:hAnsi="Baskerville" w:cs="Times New Roman"/>
                <w:color w:val="000000"/>
                <w:sz w:val="22"/>
                <w:szCs w:val="22"/>
                <w:lang w:val="en-CA"/>
              </w:rPr>
              <w:t>121,056</w:t>
            </w:r>
          </w:p>
        </w:tc>
      </w:tr>
      <w:tr w:rsidR="006A2FCB" w:rsidRPr="0045705A" w14:paraId="7DE11660" w14:textId="77777777" w:rsidTr="00406992">
        <w:trPr>
          <w:trHeight w:val="380"/>
        </w:trPr>
        <w:tc>
          <w:tcPr>
            <w:tcW w:w="1324" w:type="pct"/>
            <w:tcBorders>
              <w:top w:val="nil"/>
              <w:left w:val="single" w:sz="4" w:space="0" w:color="000000"/>
              <w:bottom w:val="single" w:sz="4" w:space="0" w:color="000000"/>
              <w:right w:val="single" w:sz="4" w:space="0" w:color="000000"/>
            </w:tcBorders>
            <w:shd w:val="clear" w:color="auto" w:fill="auto"/>
            <w:vAlign w:val="bottom"/>
            <w:hideMark/>
          </w:tcPr>
          <w:p w14:paraId="2A9FD22F" w14:textId="77777777" w:rsidR="006A2FCB" w:rsidRPr="00406992" w:rsidRDefault="006A2FCB" w:rsidP="006A2FCB">
            <w:pPr>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Fed Bank San Francisco</w:t>
            </w:r>
          </w:p>
        </w:tc>
        <w:tc>
          <w:tcPr>
            <w:tcW w:w="882" w:type="pct"/>
            <w:tcBorders>
              <w:top w:val="nil"/>
              <w:left w:val="single" w:sz="4" w:space="0" w:color="000000"/>
              <w:bottom w:val="single" w:sz="4" w:space="0" w:color="000000"/>
              <w:right w:val="nil"/>
            </w:tcBorders>
            <w:shd w:val="clear" w:color="auto" w:fill="auto"/>
            <w:noWrap/>
            <w:vAlign w:val="bottom"/>
            <w:hideMark/>
          </w:tcPr>
          <w:p w14:paraId="504F1F1A"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$512,300</w:t>
            </w:r>
          </w:p>
        </w:tc>
        <w:tc>
          <w:tcPr>
            <w:tcW w:w="667" w:type="pct"/>
            <w:tcBorders>
              <w:top w:val="nil"/>
              <w:left w:val="nil"/>
              <w:bottom w:val="single" w:sz="4" w:space="0" w:color="000000"/>
              <w:right w:val="nil"/>
            </w:tcBorders>
            <w:shd w:val="clear" w:color="auto" w:fill="auto"/>
            <w:noWrap/>
            <w:vAlign w:val="bottom"/>
            <w:hideMark/>
          </w:tcPr>
          <w:p w14:paraId="066913F9"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1,913</w:t>
            </w:r>
          </w:p>
        </w:tc>
        <w:tc>
          <w:tcPr>
            <w:tcW w:w="587" w:type="pct"/>
            <w:tcBorders>
              <w:top w:val="nil"/>
              <w:left w:val="nil"/>
              <w:bottom w:val="single" w:sz="4" w:space="0" w:color="000000"/>
              <w:right w:val="nil"/>
            </w:tcBorders>
            <w:shd w:val="clear" w:color="auto" w:fill="auto"/>
            <w:noWrap/>
            <w:vAlign w:val="bottom"/>
            <w:hideMark/>
          </w:tcPr>
          <w:p w14:paraId="082FDDAD" w14:textId="77777777" w:rsidR="006A2FCB" w:rsidRPr="00406992" w:rsidRDefault="006A2FCB" w:rsidP="006A2FCB">
            <w:pPr>
              <w:jc w:val="right"/>
              <w:rPr>
                <w:rFonts w:ascii="Baskerville" w:eastAsia="Times New Roman" w:hAnsi="Baskerville" w:cs="Times New Roman"/>
                <w:color w:val="000000"/>
                <w:sz w:val="22"/>
                <w:szCs w:val="22"/>
                <w:lang w:val="en-CA"/>
              </w:rPr>
            </w:pPr>
            <w:r w:rsidRPr="00406992">
              <w:rPr>
                <w:rFonts w:ascii="Baskerville" w:eastAsia="Times New Roman" w:hAnsi="Baskerville" w:cs="Times New Roman"/>
                <w:color w:val="000000"/>
                <w:sz w:val="22"/>
                <w:szCs w:val="22"/>
                <w:lang w:val="en-CA"/>
              </w:rPr>
              <w:t>4</w:t>
            </w:r>
          </w:p>
        </w:tc>
        <w:tc>
          <w:tcPr>
            <w:tcW w:w="883" w:type="pct"/>
            <w:tcBorders>
              <w:top w:val="nil"/>
              <w:left w:val="nil"/>
              <w:bottom w:val="single" w:sz="4" w:space="0" w:color="000000"/>
              <w:right w:val="nil"/>
            </w:tcBorders>
            <w:shd w:val="clear" w:color="auto" w:fill="auto"/>
            <w:noWrap/>
            <w:vAlign w:val="bottom"/>
            <w:hideMark/>
          </w:tcPr>
          <w:p w14:paraId="2F57DB63"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$496,984</w:t>
            </w:r>
          </w:p>
        </w:tc>
        <w:tc>
          <w:tcPr>
            <w:tcW w:w="657" w:type="pct"/>
            <w:tcBorders>
              <w:top w:val="nil"/>
              <w:left w:val="nil"/>
              <w:bottom w:val="single" w:sz="4" w:space="0" w:color="000000"/>
              <w:right w:val="single" w:sz="4" w:space="0" w:color="000000"/>
            </w:tcBorders>
            <w:shd w:val="clear" w:color="auto" w:fill="auto"/>
            <w:noWrap/>
            <w:vAlign w:val="bottom"/>
            <w:hideMark/>
          </w:tcPr>
          <w:p w14:paraId="58883EE1" w14:textId="77777777" w:rsidR="006A2FCB" w:rsidRPr="00406992" w:rsidRDefault="006A2FCB" w:rsidP="006A2FCB">
            <w:pPr>
              <w:jc w:val="right"/>
              <w:rPr>
                <w:rFonts w:ascii="Baskerville" w:eastAsia="Times New Roman" w:hAnsi="Baskerville" w:cs="Times New Roman"/>
                <w:color w:val="333333"/>
                <w:sz w:val="22"/>
                <w:szCs w:val="22"/>
                <w:lang w:val="en-CA"/>
              </w:rPr>
            </w:pPr>
            <w:r w:rsidRPr="00406992">
              <w:rPr>
                <w:rFonts w:ascii="Baskerville" w:eastAsia="Times New Roman" w:hAnsi="Baskerville" w:cs="Times New Roman"/>
                <w:color w:val="333333"/>
                <w:sz w:val="22"/>
                <w:szCs w:val="22"/>
                <w:lang w:val="en-CA"/>
              </w:rPr>
              <w:t>$889,653</w:t>
            </w:r>
          </w:p>
        </w:tc>
      </w:tr>
    </w:tbl>
    <w:p w14:paraId="090B6314" w14:textId="77777777" w:rsidR="00073F5D" w:rsidRPr="00406992" w:rsidRDefault="00073F5D" w:rsidP="0034374E">
      <w:pPr>
        <w:spacing w:after="120"/>
        <w:rPr>
          <w:rFonts w:ascii="Baskerville" w:hAnsi="Baskerville"/>
          <w:sz w:val="4"/>
          <w:szCs w:val="4"/>
          <w:u w:val="single"/>
        </w:rPr>
      </w:pPr>
    </w:p>
    <w:p w14:paraId="3D15D17B" w14:textId="77777777" w:rsidR="00073F5D" w:rsidRDefault="00073F5D" w:rsidP="00406992">
      <w:pPr>
        <w:spacing w:after="120"/>
        <w:rPr>
          <w:rFonts w:ascii="Baskerville" w:hAnsi="Baskerville"/>
        </w:rPr>
      </w:pPr>
    </w:p>
    <w:p w14:paraId="357996AF" w14:textId="466F428F" w:rsidR="000E15CE" w:rsidRPr="00F84BEF" w:rsidRDefault="006B2FDE" w:rsidP="00944154">
      <w:pPr>
        <w:spacing w:after="120"/>
        <w:ind w:firstLine="720"/>
        <w:rPr>
          <w:rFonts w:ascii="Baskerville" w:hAnsi="Baskerville"/>
        </w:rPr>
      </w:pPr>
      <w:r>
        <w:rPr>
          <w:rFonts w:ascii="Baskerville" w:hAnsi="Baskerville"/>
        </w:rPr>
        <w:t xml:space="preserve">The </w:t>
      </w:r>
      <w:r w:rsidR="000E15CE">
        <w:rPr>
          <w:rFonts w:ascii="Baskerville" w:hAnsi="Baskerville"/>
        </w:rPr>
        <w:t xml:space="preserve">FHFA has the authority to </w:t>
      </w:r>
      <w:r w:rsidR="005244C8">
        <w:rPr>
          <w:rFonts w:ascii="Baskerville" w:hAnsi="Baskerville"/>
        </w:rPr>
        <w:t>prohibit compensation that is not reasonable</w:t>
      </w:r>
      <w:r>
        <w:rPr>
          <w:rFonts w:ascii="Baskerville" w:hAnsi="Baskerville"/>
        </w:rPr>
        <w:t xml:space="preserve"> and </w:t>
      </w:r>
      <w:r w:rsidR="005244C8">
        <w:rPr>
          <w:rFonts w:ascii="Baskerville" w:hAnsi="Baskerville"/>
        </w:rPr>
        <w:t>comparable with similar businesses.</w:t>
      </w:r>
      <w:r w:rsidR="00057D44">
        <w:rPr>
          <w:rStyle w:val="FootnoteReference"/>
        </w:rPr>
        <w:footnoteReference w:id="27"/>
      </w:r>
      <w:r w:rsidR="005244C8">
        <w:rPr>
          <w:rFonts w:ascii="Baskerville" w:hAnsi="Baskerville"/>
        </w:rPr>
        <w:t xml:space="preserve"> </w:t>
      </w:r>
      <w:r w:rsidR="000E15CE">
        <w:rPr>
          <w:rFonts w:ascii="Baskerville" w:hAnsi="Baskerville"/>
        </w:rPr>
        <w:t xml:space="preserve">Given their public purpose and historical analogy against Federal Reserve Regional Banks, </w:t>
      </w:r>
      <w:r w:rsidR="00944154">
        <w:rPr>
          <w:rFonts w:ascii="Baskerville" w:hAnsi="Baskerville"/>
        </w:rPr>
        <w:t>the</w:t>
      </w:r>
      <w:r w:rsidR="000E15CE">
        <w:rPr>
          <w:rFonts w:ascii="Baskerville" w:hAnsi="Baskerville"/>
        </w:rPr>
        <w:t xml:space="preserve"> Federal Reserve Regional Bank </w:t>
      </w:r>
      <w:r w:rsidR="00944154">
        <w:rPr>
          <w:rFonts w:ascii="Baskerville" w:hAnsi="Baskerville"/>
        </w:rPr>
        <w:t>seem</w:t>
      </w:r>
      <w:r w:rsidR="002B15AA">
        <w:rPr>
          <w:rFonts w:ascii="Baskerville" w:hAnsi="Baskerville"/>
        </w:rPr>
        <w:t>s</w:t>
      </w:r>
      <w:r w:rsidR="00944154">
        <w:rPr>
          <w:rFonts w:ascii="Baskerville" w:hAnsi="Baskerville"/>
        </w:rPr>
        <w:t xml:space="preserve"> like the right starting point for assessing</w:t>
      </w:r>
      <w:r w:rsidR="000E15CE">
        <w:rPr>
          <w:rFonts w:ascii="Baskerville" w:hAnsi="Baskerville"/>
        </w:rPr>
        <w:t xml:space="preserve"> the proper comparable levels for FHLBank executives.</w:t>
      </w:r>
      <w:r w:rsidR="00944154">
        <w:rPr>
          <w:rStyle w:val="FootnoteReference"/>
        </w:rPr>
        <w:footnoteReference w:id="28"/>
      </w:r>
      <w:r w:rsidR="000E15CE">
        <w:rPr>
          <w:rFonts w:ascii="Baskerville" w:hAnsi="Baskerville"/>
        </w:rPr>
        <w:t xml:space="preserve"> </w:t>
      </w:r>
      <w:r w:rsidR="00944154">
        <w:rPr>
          <w:rFonts w:ascii="Baskerville" w:hAnsi="Baskerville"/>
        </w:rPr>
        <w:t xml:space="preserve">With respect to design, as this letter otherwise clarifies, the aggregate value of advances should not support a larger salary. Instead, compensation should be set by reference to how much advances and other activities actually promote the values set forth in the CMA. If a FHLBank opts to expand other </w:t>
      </w:r>
      <w:r w:rsidR="00944154">
        <w:rPr>
          <w:rFonts w:ascii="Baskerville" w:hAnsi="Baskerville"/>
        </w:rPr>
        <w:lastRenderedPageBreak/>
        <w:t xml:space="preserve">types of operations to promote housing and community development financing, such as expanding </w:t>
      </w:r>
      <w:r w:rsidR="009D7F1B">
        <w:rPr>
          <w:rFonts w:ascii="Baskerville" w:hAnsi="Baskerville"/>
        </w:rPr>
        <w:t xml:space="preserve">the </w:t>
      </w:r>
      <w:r w:rsidR="00944154" w:rsidRPr="00944154">
        <w:rPr>
          <w:rFonts w:ascii="Baskerville" w:hAnsi="Baskerville"/>
        </w:rPr>
        <w:t>Mortgage Partnership Finance Program</w:t>
      </w:r>
      <w:r w:rsidR="00944154">
        <w:rPr>
          <w:rFonts w:ascii="Baskerville" w:hAnsi="Baskerville"/>
        </w:rPr>
        <w:t xml:space="preserve"> or developing other programs specifically to promote community development financing, for example, that could be a reasonable basis for a relatively higher salary.</w:t>
      </w:r>
      <w:r w:rsidR="00796E0D">
        <w:rPr>
          <w:rFonts w:ascii="Baskerville" w:hAnsi="Baskerville"/>
        </w:rPr>
        <w:t xml:space="preserve"> After</w:t>
      </w:r>
      <w:r w:rsidR="00D124F9">
        <w:rPr>
          <w:rFonts w:ascii="Baskerville" w:hAnsi="Baskerville"/>
        </w:rPr>
        <w:t xml:space="preserve"> </w:t>
      </w:r>
      <w:r w:rsidR="00796E0D">
        <w:rPr>
          <w:rFonts w:ascii="Baskerville" w:hAnsi="Baskerville"/>
        </w:rPr>
        <w:t>all</w:t>
      </w:r>
      <w:r w:rsidR="002B15AA">
        <w:rPr>
          <w:rFonts w:ascii="Baskerville" w:hAnsi="Baskerville"/>
        </w:rPr>
        <w:t>,</w:t>
      </w:r>
      <w:r w:rsidR="00796E0D">
        <w:rPr>
          <w:rFonts w:ascii="Baskerville" w:hAnsi="Baskerville"/>
        </w:rPr>
        <w:t xml:space="preserve"> the statute points to </w:t>
      </w:r>
      <w:r w:rsidR="009D7F1B">
        <w:rPr>
          <w:rFonts w:ascii="Baskerville" w:hAnsi="Baskerville"/>
        </w:rPr>
        <w:t xml:space="preserve">compensation reasonable and comparable to </w:t>
      </w:r>
      <w:r w:rsidR="00796E0D">
        <w:rPr>
          <w:rFonts w:ascii="Baskerville" w:hAnsi="Baskerville"/>
        </w:rPr>
        <w:t>“similar businesses</w:t>
      </w:r>
      <w:r w:rsidR="009D7F1B">
        <w:rPr>
          <w:rFonts w:ascii="Baskerville" w:hAnsi="Baskerville"/>
        </w:rPr>
        <w:t>” and “</w:t>
      </w:r>
      <w:r w:rsidR="00796E0D">
        <w:rPr>
          <w:rFonts w:ascii="Baskerville" w:hAnsi="Baskerville"/>
        </w:rPr>
        <w:t>involving similar duties and responsibilities.”</w:t>
      </w:r>
      <w:r w:rsidR="001F47C7">
        <w:rPr>
          <w:rStyle w:val="FootnoteReference"/>
        </w:rPr>
        <w:footnoteReference w:id="29"/>
      </w:r>
      <w:r w:rsidR="00796E0D">
        <w:rPr>
          <w:rFonts w:ascii="Baskerville" w:hAnsi="Baskerville"/>
        </w:rPr>
        <w:t xml:space="preserve"> These could include community development organizations and housing finance organizations such as LISC and Enterprise.</w:t>
      </w:r>
    </w:p>
    <w:p w14:paraId="0786458B" w14:textId="533EA7EE" w:rsidR="00690FAF" w:rsidRPr="00F84BEF" w:rsidRDefault="009E78F5" w:rsidP="00F84BEF">
      <w:pPr>
        <w:spacing w:after="120"/>
        <w:ind w:firstLine="720"/>
        <w:rPr>
          <w:rFonts w:ascii="Baskerville" w:hAnsi="Baskerville"/>
          <w:b/>
          <w:bCs/>
        </w:rPr>
      </w:pPr>
      <w:r w:rsidRPr="00F84BEF">
        <w:rPr>
          <w:rFonts w:ascii="Baskerville" w:hAnsi="Baskerville"/>
          <w:b/>
          <w:bCs/>
        </w:rPr>
        <w:t xml:space="preserve">Limited </w:t>
      </w:r>
      <w:r w:rsidR="00690FAF" w:rsidRPr="00F84BEF">
        <w:rPr>
          <w:rFonts w:ascii="Baskerville" w:hAnsi="Baskerville"/>
          <w:b/>
          <w:bCs/>
        </w:rPr>
        <w:t xml:space="preserve">Accountability </w:t>
      </w:r>
    </w:p>
    <w:p w14:paraId="14A07269" w14:textId="35DEFB8E" w:rsidR="000E15CE" w:rsidRDefault="000C7DE6" w:rsidP="00F84BEF">
      <w:pPr>
        <w:spacing w:after="120"/>
        <w:ind w:firstLine="720"/>
        <w:rPr>
          <w:rFonts w:ascii="Baskerville" w:hAnsi="Baskerville"/>
        </w:rPr>
      </w:pPr>
      <w:r>
        <w:rPr>
          <w:rFonts w:ascii="Baskerville" w:hAnsi="Baskerville"/>
        </w:rPr>
        <w:t>T</w:t>
      </w:r>
      <w:r w:rsidR="002D4BE0" w:rsidRPr="00F84BEF">
        <w:rPr>
          <w:rFonts w:ascii="Baskerville" w:hAnsi="Baskerville"/>
        </w:rPr>
        <w:t xml:space="preserve">here is </w:t>
      </w:r>
      <w:r w:rsidR="00DE118D">
        <w:rPr>
          <w:rFonts w:ascii="Baskerville" w:hAnsi="Baskerville"/>
        </w:rPr>
        <w:t>far from adequate</w:t>
      </w:r>
      <w:r w:rsidR="002D4BE0" w:rsidRPr="00F84BEF">
        <w:rPr>
          <w:rFonts w:ascii="Baskerville" w:hAnsi="Baskerville"/>
        </w:rPr>
        <w:t xml:space="preserve"> public accountability with respect to the FHLBanks’ lending decisions. </w:t>
      </w:r>
      <w:r w:rsidR="00DE118D">
        <w:rPr>
          <w:rFonts w:ascii="Baskerville" w:hAnsi="Baskerville"/>
        </w:rPr>
        <w:t xml:space="preserve">There is no affirmative obligation to publicly disclose borrowers or terms, even with a delay. </w:t>
      </w:r>
      <w:r w:rsidR="002D4BE0" w:rsidRPr="00F84BEF">
        <w:rPr>
          <w:rFonts w:ascii="Baskerville" w:hAnsi="Baskerville"/>
        </w:rPr>
        <w:t xml:space="preserve">FHLBank officials </w:t>
      </w:r>
      <w:r w:rsidR="00DE118D">
        <w:rPr>
          <w:rFonts w:ascii="Baskerville" w:hAnsi="Baskerville"/>
        </w:rPr>
        <w:t xml:space="preserve">also </w:t>
      </w:r>
      <w:r w:rsidR="002D4BE0" w:rsidRPr="00F84BEF">
        <w:rPr>
          <w:rFonts w:ascii="Baskerville" w:hAnsi="Baskerville"/>
        </w:rPr>
        <w:t xml:space="preserve">face </w:t>
      </w:r>
      <w:r w:rsidR="00DE118D">
        <w:rPr>
          <w:rFonts w:ascii="Baskerville" w:hAnsi="Baskerville"/>
        </w:rPr>
        <w:t xml:space="preserve">less </w:t>
      </w:r>
      <w:proofErr w:type="gramStart"/>
      <w:r w:rsidR="002D4BE0" w:rsidRPr="00F84BEF">
        <w:rPr>
          <w:rFonts w:ascii="Baskerville" w:hAnsi="Baskerville"/>
        </w:rPr>
        <w:t>ex post</w:t>
      </w:r>
      <w:proofErr w:type="gramEnd"/>
      <w:r w:rsidR="002D4BE0" w:rsidRPr="00F84BEF">
        <w:rPr>
          <w:rFonts w:ascii="Baskerville" w:hAnsi="Baskerville"/>
        </w:rPr>
        <w:t xml:space="preserve"> accountability </w:t>
      </w:r>
      <w:r w:rsidR="00DE118D">
        <w:rPr>
          <w:rFonts w:ascii="Baskerville" w:hAnsi="Baskerville"/>
        </w:rPr>
        <w:t>than</w:t>
      </w:r>
      <w:r w:rsidR="00DE118D" w:rsidRPr="00F84BEF">
        <w:rPr>
          <w:rFonts w:ascii="Baskerville" w:hAnsi="Baskerville"/>
        </w:rPr>
        <w:t xml:space="preserve"> </w:t>
      </w:r>
      <w:r w:rsidR="002D4BE0" w:rsidRPr="00F84BEF">
        <w:rPr>
          <w:rFonts w:ascii="Baskerville" w:hAnsi="Baskerville"/>
        </w:rPr>
        <w:t>Fed officials when they make decisions that contribute to bad outcome</w:t>
      </w:r>
      <w:r w:rsidR="00DE118D">
        <w:rPr>
          <w:rFonts w:ascii="Baskerville" w:hAnsi="Baskerville"/>
        </w:rPr>
        <w:t>s</w:t>
      </w:r>
      <w:r w:rsidR="002D4BE0" w:rsidRPr="00F84BEF">
        <w:rPr>
          <w:rFonts w:ascii="Baskerville" w:hAnsi="Baskerville"/>
        </w:rPr>
        <w:t>. For example,</w:t>
      </w:r>
      <w:r w:rsidR="00DE118D">
        <w:rPr>
          <w:rFonts w:ascii="Baskerville" w:hAnsi="Baskerville"/>
        </w:rPr>
        <w:t xml:space="preserve"> despite the massive lending by the FHLBank of San Francisco to SVB and First Republic and the many congressional hearings that followed those failures, the FHLBank officials involved were never forced to testify. This stands in stark contrast t</w:t>
      </w:r>
      <w:r w:rsidR="00D744C0">
        <w:rPr>
          <w:rFonts w:ascii="Baskerville" w:hAnsi="Baskerville"/>
        </w:rPr>
        <w:t>o</w:t>
      </w:r>
      <w:r w:rsidR="00DE118D">
        <w:rPr>
          <w:rFonts w:ascii="Baskerville" w:hAnsi="Baskerville"/>
        </w:rPr>
        <w:t xml:space="preserve"> the numerous hearings on bank examination that followed those events. </w:t>
      </w:r>
      <w:r w:rsidR="002D4BE0" w:rsidRPr="00F84BEF">
        <w:rPr>
          <w:rFonts w:ascii="Baskerville" w:hAnsi="Baskerville"/>
        </w:rPr>
        <w:t xml:space="preserve"> </w:t>
      </w:r>
      <w:r w:rsidR="00DE118D">
        <w:rPr>
          <w:rFonts w:ascii="Baskerville" w:hAnsi="Baskerville"/>
        </w:rPr>
        <w:t xml:space="preserve"> </w:t>
      </w:r>
    </w:p>
    <w:p w14:paraId="3AA68A53" w14:textId="219CB6A9" w:rsidR="000E15CE" w:rsidRDefault="000E15CE" w:rsidP="000E15CE">
      <w:pPr>
        <w:spacing w:after="120"/>
        <w:ind w:firstLine="720"/>
        <w:rPr>
          <w:rFonts w:ascii="Baskerville" w:hAnsi="Baskerville"/>
        </w:rPr>
      </w:pPr>
      <w:r>
        <w:rPr>
          <w:rFonts w:ascii="Baskerville" w:hAnsi="Baskerville"/>
        </w:rPr>
        <w:t>To booster accountability, FHFA could convene public fora where FHLBank leadership and public stakeholders discuss FHLBank actions. FHFA can build on</w:t>
      </w:r>
      <w:r w:rsidR="00377402">
        <w:rPr>
          <w:rFonts w:ascii="Baskerville" w:hAnsi="Baskerville"/>
        </w:rPr>
        <w:t xml:space="preserve"> </w:t>
      </w:r>
      <w:r>
        <w:rPr>
          <w:rFonts w:ascii="Baskerville" w:hAnsi="Baskerville"/>
        </w:rPr>
        <w:t>its successful FHLB reform process</w:t>
      </w:r>
      <w:r w:rsidR="00377402">
        <w:rPr>
          <w:rFonts w:ascii="Baskerville" w:hAnsi="Baskerville"/>
        </w:rPr>
        <w:t xml:space="preserve">, </w:t>
      </w:r>
      <w:hyperlink r:id="rId11" w:history="1">
        <w:r w:rsidR="00377402" w:rsidRPr="00234E35">
          <w:rPr>
            <w:rStyle w:val="Hyperlink"/>
            <w:rFonts w:ascii="Baskerville" w:hAnsi="Baskerville"/>
          </w:rPr>
          <w:t>FHLBank System at 100: Focusing on The Future</w:t>
        </w:r>
      </w:hyperlink>
      <w:r w:rsidR="00377402">
        <w:rPr>
          <w:rFonts w:ascii="Baskerville" w:hAnsi="Baskerville"/>
        </w:rPr>
        <w:t>,</w:t>
      </w:r>
      <w:r>
        <w:rPr>
          <w:rFonts w:ascii="Baskerville" w:hAnsi="Baskerville"/>
        </w:rPr>
        <w:t xml:space="preserve"> by formalizing a set of semi-annual hearings on the FHLB System and on particular banks.</w:t>
      </w:r>
    </w:p>
    <w:p w14:paraId="2AC6D41E" w14:textId="5ECEE15D" w:rsidR="00A036BC" w:rsidRDefault="00A036BC" w:rsidP="000E15CE">
      <w:pPr>
        <w:spacing w:after="120"/>
        <w:ind w:firstLine="720"/>
        <w:rPr>
          <w:rFonts w:ascii="Baskerville" w:hAnsi="Baskerville"/>
        </w:rPr>
      </w:pPr>
      <w:r>
        <w:rPr>
          <w:rFonts w:ascii="Baskerville" w:hAnsi="Baskerville"/>
        </w:rPr>
        <w:t>Another concern is how the FHLBanks have employed paid lobbyists to gain influence in Congress. In 202</w:t>
      </w:r>
      <w:r w:rsidR="009865EB">
        <w:rPr>
          <w:rFonts w:ascii="Baskerville" w:hAnsi="Baskerville"/>
        </w:rPr>
        <w:t>3</w:t>
      </w:r>
      <w:r>
        <w:rPr>
          <w:rFonts w:ascii="Baskerville" w:hAnsi="Baskerville"/>
        </w:rPr>
        <w:t>, FHLBanks and their organizations spent $</w:t>
      </w:r>
      <w:r w:rsidR="009865EB">
        <w:rPr>
          <w:rFonts w:ascii="Baskerville" w:hAnsi="Baskerville"/>
        </w:rPr>
        <w:t>3.37</w:t>
      </w:r>
      <w:r>
        <w:rPr>
          <w:rFonts w:ascii="Baskerville" w:hAnsi="Baskerville"/>
        </w:rPr>
        <w:t xml:space="preserve"> million on registered </w:t>
      </w:r>
      <w:r w:rsidR="00D744C0">
        <w:rPr>
          <w:rFonts w:ascii="Baskerville" w:hAnsi="Baskerville"/>
        </w:rPr>
        <w:t>lobbyists</w:t>
      </w:r>
      <w:r>
        <w:rPr>
          <w:rFonts w:ascii="Baskerville" w:hAnsi="Baskerville"/>
        </w:rPr>
        <w:t>.</w:t>
      </w:r>
      <w:r w:rsidR="006F4FD4">
        <w:rPr>
          <w:rStyle w:val="FootnoteReference"/>
        </w:rPr>
        <w:footnoteReference w:id="30"/>
      </w:r>
      <w:r>
        <w:rPr>
          <w:rFonts w:ascii="Baskerville" w:hAnsi="Baskerville"/>
        </w:rPr>
        <w:t xml:space="preserve"> </w:t>
      </w:r>
      <w:r w:rsidR="006F4FD4">
        <w:rPr>
          <w:rFonts w:ascii="Baskerville" w:hAnsi="Baskerville"/>
        </w:rPr>
        <w:t xml:space="preserve">The nearest historical precedent to FHLBanks, </w:t>
      </w:r>
      <w:r>
        <w:rPr>
          <w:rFonts w:ascii="Baskerville" w:hAnsi="Baskerville"/>
        </w:rPr>
        <w:t>Federal Reserve Banks</w:t>
      </w:r>
      <w:r w:rsidR="002B15AA">
        <w:rPr>
          <w:rFonts w:ascii="Baskerville" w:hAnsi="Baskerville"/>
        </w:rPr>
        <w:t>,</w:t>
      </w:r>
      <w:r w:rsidR="00651B7E">
        <w:rPr>
          <w:rFonts w:ascii="Baskerville" w:hAnsi="Baskerville"/>
        </w:rPr>
        <w:t xml:space="preserve"> </w:t>
      </w:r>
      <w:r w:rsidR="006F4FD4">
        <w:rPr>
          <w:rFonts w:ascii="Baskerville" w:hAnsi="Baskerville"/>
        </w:rPr>
        <w:t>are government chartered but privately owned cooperatives</w:t>
      </w:r>
      <w:r w:rsidR="002B15AA">
        <w:rPr>
          <w:rFonts w:ascii="Baskerville" w:hAnsi="Baskerville"/>
        </w:rPr>
        <w:t xml:space="preserve"> that</w:t>
      </w:r>
      <w:r w:rsidR="006F4FD4">
        <w:rPr>
          <w:rFonts w:ascii="Baskerville" w:hAnsi="Baskerville"/>
        </w:rPr>
        <w:t xml:space="preserve"> </w:t>
      </w:r>
      <w:r>
        <w:rPr>
          <w:rFonts w:ascii="Baskerville" w:hAnsi="Baskerville"/>
        </w:rPr>
        <w:t xml:space="preserve">do not </w:t>
      </w:r>
      <w:r w:rsidR="002C58BB">
        <w:rPr>
          <w:rFonts w:ascii="Baskerville" w:hAnsi="Baskerville"/>
        </w:rPr>
        <w:t xml:space="preserve">employ </w:t>
      </w:r>
      <w:r>
        <w:rPr>
          <w:rFonts w:ascii="Baskerville" w:hAnsi="Baskerville"/>
        </w:rPr>
        <w:t>private lobbyists. Thus, one has to ask</w:t>
      </w:r>
      <w:r w:rsidR="002B15AA">
        <w:rPr>
          <w:rFonts w:ascii="Baskerville" w:hAnsi="Baskerville"/>
        </w:rPr>
        <w:t>,</w:t>
      </w:r>
      <w:r>
        <w:rPr>
          <w:rFonts w:ascii="Baskerville" w:hAnsi="Baskerville"/>
        </w:rPr>
        <w:t xml:space="preserve"> why do the FHLBs?</w:t>
      </w:r>
      <w:r w:rsidR="0020686A">
        <w:rPr>
          <w:rFonts w:ascii="Baskerville" w:hAnsi="Baskerville"/>
        </w:rPr>
        <w:t xml:space="preserve"> </w:t>
      </w:r>
      <w:r>
        <w:rPr>
          <w:rFonts w:ascii="Baskerville" w:hAnsi="Baskerville"/>
        </w:rPr>
        <w:t xml:space="preserve">Presumably the purpose of these expenditures is to increase the FHLBanks direct access to Congress to maximize their profits and limit public scrutiny of their actions. </w:t>
      </w:r>
    </w:p>
    <w:p w14:paraId="27BC219F" w14:textId="0E88AAE4" w:rsidR="00A036BC" w:rsidRDefault="00A036BC" w:rsidP="00B253B8">
      <w:pPr>
        <w:spacing w:after="120"/>
        <w:ind w:firstLine="720"/>
        <w:rPr>
          <w:rFonts w:ascii="Baskerville" w:hAnsi="Baskerville"/>
        </w:rPr>
      </w:pPr>
      <w:r>
        <w:rPr>
          <w:rFonts w:ascii="Baskerville" w:hAnsi="Baskerville"/>
        </w:rPr>
        <w:t xml:space="preserve">Prior to Fannie Mae and Freddie Mac being placed into conservatorship by FHFA, both organizations employed a large team of lobbyists. Reports of the effectiveness of the </w:t>
      </w:r>
      <w:r w:rsidR="009F0732">
        <w:rPr>
          <w:rFonts w:ascii="Baskerville" w:hAnsi="Baskerville"/>
        </w:rPr>
        <w:t>Government-Sponsored Enterprise (</w:t>
      </w:r>
      <w:r>
        <w:rPr>
          <w:rFonts w:ascii="Baskerville" w:hAnsi="Baskerville"/>
        </w:rPr>
        <w:t>GSE</w:t>
      </w:r>
      <w:r w:rsidR="00F31016">
        <w:rPr>
          <w:rFonts w:ascii="Baskerville" w:hAnsi="Baskerville"/>
        </w:rPr>
        <w:t>)</w:t>
      </w:r>
      <w:r>
        <w:rPr>
          <w:rFonts w:ascii="Baskerville" w:hAnsi="Baskerville"/>
        </w:rPr>
        <w:t xml:space="preserve"> lobbying organization indicate it was one reason why Congress was slow to enact stronger regulation of the GSEs and created pressure </w:t>
      </w:r>
      <w:r w:rsidR="002B15AA">
        <w:rPr>
          <w:rFonts w:ascii="Baskerville" w:hAnsi="Baskerville"/>
        </w:rPr>
        <w:t xml:space="preserve">to keep </w:t>
      </w:r>
      <w:r>
        <w:rPr>
          <w:rFonts w:ascii="Baskerville" w:hAnsi="Baskerville"/>
        </w:rPr>
        <w:t xml:space="preserve">their regulator from taking tougher action. </w:t>
      </w:r>
      <w:r w:rsidR="00633B64">
        <w:rPr>
          <w:rFonts w:ascii="Baskerville" w:hAnsi="Baskerville"/>
        </w:rPr>
        <w:t xml:space="preserve">For example, </w:t>
      </w:r>
      <w:r w:rsidR="00B253B8">
        <w:rPr>
          <w:rFonts w:ascii="Baskerville" w:hAnsi="Baskerville"/>
        </w:rPr>
        <w:t>“w</w:t>
      </w:r>
      <w:r w:rsidR="00633B64" w:rsidRPr="00633B64">
        <w:rPr>
          <w:rFonts w:ascii="Baskerville" w:hAnsi="Baskerville"/>
        </w:rPr>
        <w:t>hen</w:t>
      </w:r>
      <w:r w:rsidR="00B253B8">
        <w:rPr>
          <w:rFonts w:ascii="Baskerville" w:hAnsi="Baskerville"/>
        </w:rPr>
        <w:t xml:space="preserve"> </w:t>
      </w:r>
      <w:r w:rsidR="00633B64" w:rsidRPr="00633B64">
        <w:rPr>
          <w:rFonts w:ascii="Baskerville" w:hAnsi="Baskerville"/>
        </w:rPr>
        <w:t>Congressman Paul Ryan (R-WI) sought to increase regulation of the GSEs, Fannie Mae</w:t>
      </w:r>
      <w:r w:rsidR="00B253B8">
        <w:rPr>
          <w:rFonts w:ascii="Baskerville" w:hAnsi="Baskerville"/>
        </w:rPr>
        <w:t xml:space="preserve"> </w:t>
      </w:r>
      <w:r w:rsidR="00633B64" w:rsidRPr="00633B64">
        <w:rPr>
          <w:rFonts w:ascii="Baskerville" w:hAnsi="Baskerville"/>
        </w:rPr>
        <w:t>sent lobbyists to harass him in his Wisconsin congressional district, going so far as to call</w:t>
      </w:r>
      <w:r w:rsidR="00B253B8">
        <w:rPr>
          <w:rFonts w:ascii="Baskerville" w:hAnsi="Baskerville"/>
        </w:rPr>
        <w:t xml:space="preserve"> </w:t>
      </w:r>
      <w:r w:rsidR="00633B64" w:rsidRPr="00633B64">
        <w:rPr>
          <w:rFonts w:ascii="Baskerville" w:hAnsi="Baskerville"/>
        </w:rPr>
        <w:t xml:space="preserve">his constituents and accuse him of seeking </w:t>
      </w:r>
      <w:r w:rsidR="00633B64" w:rsidRPr="00633B64">
        <w:rPr>
          <w:rFonts w:ascii="Baskerville" w:hAnsi="Baskerville"/>
        </w:rPr>
        <w:lastRenderedPageBreak/>
        <w:t>to increase mortgage rates, generating 6,000</w:t>
      </w:r>
      <w:r w:rsidR="00B253B8">
        <w:rPr>
          <w:rFonts w:ascii="Baskerville" w:hAnsi="Baskerville"/>
        </w:rPr>
        <w:t xml:space="preserve"> </w:t>
      </w:r>
      <w:r w:rsidR="00633B64" w:rsidRPr="00633B64">
        <w:rPr>
          <w:rFonts w:ascii="Baskerville" w:hAnsi="Baskerville"/>
        </w:rPr>
        <w:t>angry responses to his office.</w:t>
      </w:r>
      <w:r w:rsidR="00B253B8">
        <w:rPr>
          <w:rFonts w:ascii="Baskerville" w:hAnsi="Baskerville"/>
        </w:rPr>
        <w:t>”</w:t>
      </w:r>
      <w:r w:rsidR="00CA779C">
        <w:rPr>
          <w:rStyle w:val="FootnoteReference"/>
        </w:rPr>
        <w:footnoteReference w:id="31"/>
      </w:r>
      <w:r w:rsidR="00B253B8">
        <w:rPr>
          <w:rFonts w:ascii="Baskerville" w:hAnsi="Baskerville"/>
        </w:rPr>
        <w:t xml:space="preserve"> </w:t>
      </w:r>
      <w:r w:rsidR="002E50BE">
        <w:rPr>
          <w:rFonts w:ascii="Baskerville" w:hAnsi="Baskerville"/>
        </w:rPr>
        <w:t>This was one reason Congress created FHFA and specifically changed FHFA’s funding system from discretionary Congressional appropriations to direct mandatory funding from their regulated agencies (e.g.</w:t>
      </w:r>
      <w:r w:rsidR="002B15AA">
        <w:rPr>
          <w:rFonts w:ascii="Baskerville" w:hAnsi="Baskerville"/>
        </w:rPr>
        <w:t>,</w:t>
      </w:r>
      <w:r w:rsidR="002E50BE">
        <w:rPr>
          <w:rFonts w:ascii="Baskerville" w:hAnsi="Baskerville"/>
        </w:rPr>
        <w:t xml:space="preserve"> taken </w:t>
      </w:r>
      <w:r w:rsidR="002B15AA">
        <w:rPr>
          <w:rFonts w:ascii="Baskerville" w:hAnsi="Baskerville"/>
        </w:rPr>
        <w:t>“</w:t>
      </w:r>
      <w:r w:rsidR="002E50BE">
        <w:rPr>
          <w:rFonts w:ascii="Baskerville" w:hAnsi="Baskerville"/>
        </w:rPr>
        <w:t>off annual appropriations</w:t>
      </w:r>
      <w:r w:rsidR="002B15AA">
        <w:rPr>
          <w:rFonts w:ascii="Baskerville" w:hAnsi="Baskerville"/>
        </w:rPr>
        <w:t>”</w:t>
      </w:r>
      <w:r w:rsidR="002E50BE">
        <w:rPr>
          <w:rFonts w:ascii="Baskerville" w:hAnsi="Baskerville"/>
        </w:rPr>
        <w:t>).</w:t>
      </w:r>
      <w:r w:rsidR="00BC541F">
        <w:rPr>
          <w:rStyle w:val="FootnoteReference"/>
        </w:rPr>
        <w:footnoteReference w:id="32"/>
      </w:r>
      <w:r w:rsidR="00D24F6F">
        <w:rPr>
          <w:rFonts w:ascii="Baskerville" w:hAnsi="Baskerville"/>
        </w:rPr>
        <w:t xml:space="preserve"> </w:t>
      </w:r>
      <w:r>
        <w:rPr>
          <w:rFonts w:ascii="Baskerville" w:hAnsi="Baskerville"/>
        </w:rPr>
        <w:t xml:space="preserve">One </w:t>
      </w:r>
      <w:r w:rsidR="002E50BE">
        <w:rPr>
          <w:rFonts w:ascii="Baskerville" w:hAnsi="Baskerville"/>
        </w:rPr>
        <w:t>of</w:t>
      </w:r>
      <w:r>
        <w:rPr>
          <w:rFonts w:ascii="Baskerville" w:hAnsi="Baskerville"/>
        </w:rPr>
        <w:t xml:space="preserve"> the first actions FHFA took after placing each GSE </w:t>
      </w:r>
      <w:r w:rsidR="00045125">
        <w:rPr>
          <w:rFonts w:ascii="Baskerville" w:hAnsi="Baskerville"/>
        </w:rPr>
        <w:t>into</w:t>
      </w:r>
      <w:r>
        <w:rPr>
          <w:rFonts w:ascii="Baskerville" w:hAnsi="Baskerville"/>
        </w:rPr>
        <w:t xml:space="preserve"> </w:t>
      </w:r>
      <w:r w:rsidR="002E50BE">
        <w:rPr>
          <w:rFonts w:ascii="Baskerville" w:hAnsi="Baskerville"/>
        </w:rPr>
        <w:t>conservatorship</w:t>
      </w:r>
      <w:r>
        <w:rPr>
          <w:rFonts w:ascii="Baskerville" w:hAnsi="Baskerville"/>
        </w:rPr>
        <w:t xml:space="preserve"> was to eliminate their external lobbying contracts.</w:t>
      </w:r>
    </w:p>
    <w:p w14:paraId="659241EA" w14:textId="1538DE22" w:rsidR="00A036BC" w:rsidRPr="00F84BEF" w:rsidRDefault="002E50BE" w:rsidP="009B2C3D">
      <w:pPr>
        <w:spacing w:after="120"/>
        <w:ind w:firstLine="720"/>
        <w:rPr>
          <w:rFonts w:ascii="Baskerville" w:hAnsi="Baskerville"/>
        </w:rPr>
      </w:pPr>
      <w:r>
        <w:rPr>
          <w:rFonts w:ascii="Baskerville" w:hAnsi="Baskerville"/>
        </w:rPr>
        <w:t>FHFA should explore the conflicts creat</w:t>
      </w:r>
      <w:r w:rsidR="00F16C78">
        <w:rPr>
          <w:rFonts w:ascii="Baskerville" w:hAnsi="Baskerville"/>
        </w:rPr>
        <w:t>ed</w:t>
      </w:r>
      <w:r>
        <w:rPr>
          <w:rFonts w:ascii="Baskerville" w:hAnsi="Baskerville"/>
        </w:rPr>
        <w:t xml:space="preserve"> by FHLB lobbying efforts. This c</w:t>
      </w:r>
      <w:r w:rsidR="009B2C3D">
        <w:rPr>
          <w:rFonts w:ascii="Baskerville" w:hAnsi="Baskerville"/>
        </w:rPr>
        <w:t>ould</w:t>
      </w:r>
      <w:r>
        <w:rPr>
          <w:rFonts w:ascii="Baskerville" w:hAnsi="Baskerville"/>
        </w:rPr>
        <w:t xml:space="preserve"> begin with a clear, public articulation by the FHLBanks </w:t>
      </w:r>
      <w:r w:rsidR="002B15AA">
        <w:rPr>
          <w:rFonts w:ascii="Baskerville" w:hAnsi="Baskerville"/>
        </w:rPr>
        <w:t>on</w:t>
      </w:r>
      <w:r>
        <w:rPr>
          <w:rFonts w:ascii="Baskerville" w:hAnsi="Baskerville"/>
        </w:rPr>
        <w:t xml:space="preserve"> the purpose of their lobbying effor</w:t>
      </w:r>
      <w:r w:rsidR="009B2C3D">
        <w:rPr>
          <w:rFonts w:ascii="Baskerville" w:hAnsi="Baskerville"/>
        </w:rPr>
        <w:t>t</w:t>
      </w:r>
      <w:r>
        <w:rPr>
          <w:rFonts w:ascii="Baskerville" w:hAnsi="Baskerville"/>
        </w:rPr>
        <w:t>s</w:t>
      </w:r>
      <w:r w:rsidR="009B2C3D">
        <w:rPr>
          <w:rFonts w:ascii="Baskerville" w:hAnsi="Baskerville"/>
        </w:rPr>
        <w:t xml:space="preserve"> as a way to ensure that any lobbying they are undertaking is consistent with the CMA</w:t>
      </w:r>
      <w:r>
        <w:rPr>
          <w:rFonts w:ascii="Baskerville" w:hAnsi="Baskerville"/>
        </w:rPr>
        <w:t xml:space="preserve">. It </w:t>
      </w:r>
      <w:r w:rsidR="009B2C3D">
        <w:rPr>
          <w:rFonts w:ascii="Baskerville" w:hAnsi="Baskerville"/>
        </w:rPr>
        <w:t xml:space="preserve">may </w:t>
      </w:r>
      <w:r>
        <w:rPr>
          <w:rFonts w:ascii="Baskerville" w:hAnsi="Baskerville"/>
        </w:rPr>
        <w:t xml:space="preserve">also include a consideration by FHFA of </w:t>
      </w:r>
      <w:r w:rsidR="009B2C3D">
        <w:rPr>
          <w:rFonts w:ascii="Baskerville" w:hAnsi="Baskerville"/>
        </w:rPr>
        <w:t xml:space="preserve">its </w:t>
      </w:r>
      <w:r>
        <w:rPr>
          <w:rFonts w:ascii="Baskerville" w:hAnsi="Baskerville"/>
        </w:rPr>
        <w:t xml:space="preserve">authority </w:t>
      </w:r>
      <w:r w:rsidR="009B2C3D">
        <w:rPr>
          <w:rFonts w:ascii="Baskerville" w:hAnsi="Baskerville"/>
        </w:rPr>
        <w:t xml:space="preserve">to impose limits on FHLBank lobbying, including constraints on the </w:t>
      </w:r>
      <w:r>
        <w:rPr>
          <w:rFonts w:ascii="Baskerville" w:hAnsi="Baskerville"/>
        </w:rPr>
        <w:t xml:space="preserve">hiring of external lobbyists. Such consideration </w:t>
      </w:r>
      <w:r w:rsidR="009B2C3D">
        <w:rPr>
          <w:rFonts w:ascii="Baskerville" w:hAnsi="Baskerville"/>
        </w:rPr>
        <w:t>should recognize that the</w:t>
      </w:r>
      <w:r>
        <w:rPr>
          <w:rFonts w:ascii="Baskerville" w:hAnsi="Baskerville"/>
        </w:rPr>
        <w:t xml:space="preserve"> FHLBanks </w:t>
      </w:r>
      <w:r w:rsidR="009B2C3D">
        <w:rPr>
          <w:rFonts w:ascii="Baskerville" w:hAnsi="Baskerville"/>
        </w:rPr>
        <w:t>have rights under the F</w:t>
      </w:r>
      <w:r>
        <w:rPr>
          <w:rFonts w:ascii="Baskerville" w:hAnsi="Baskerville"/>
        </w:rPr>
        <w:t>irst</w:t>
      </w:r>
      <w:r w:rsidR="009B2C3D">
        <w:rPr>
          <w:rFonts w:ascii="Baskerville" w:hAnsi="Baskerville"/>
        </w:rPr>
        <w:t xml:space="preserve"> A</w:t>
      </w:r>
      <w:r>
        <w:rPr>
          <w:rFonts w:ascii="Baskerville" w:hAnsi="Baskerville"/>
        </w:rPr>
        <w:t>mendment and those rights must be respected. However, as government</w:t>
      </w:r>
      <w:r w:rsidR="009B2C3D">
        <w:rPr>
          <w:rFonts w:ascii="Baskerville" w:hAnsi="Baskerville"/>
        </w:rPr>
        <w:t>-</w:t>
      </w:r>
      <w:r>
        <w:rPr>
          <w:rFonts w:ascii="Baskerville" w:hAnsi="Baskerville"/>
        </w:rPr>
        <w:t xml:space="preserve">chartered enterprises </w:t>
      </w:r>
      <w:r w:rsidR="009B2C3D">
        <w:rPr>
          <w:rFonts w:ascii="Baskerville" w:hAnsi="Baskerville"/>
        </w:rPr>
        <w:t xml:space="preserve">using public subsidies to supposedly </w:t>
      </w:r>
      <w:r>
        <w:rPr>
          <w:rFonts w:ascii="Baskerville" w:hAnsi="Baskerville"/>
        </w:rPr>
        <w:t>serv</w:t>
      </w:r>
      <w:r w:rsidR="009B2C3D">
        <w:rPr>
          <w:rFonts w:ascii="Baskerville" w:hAnsi="Baskerville"/>
        </w:rPr>
        <w:t>e</w:t>
      </w:r>
      <w:r>
        <w:rPr>
          <w:rFonts w:ascii="Baskerville" w:hAnsi="Baskerville"/>
        </w:rPr>
        <w:t xml:space="preserve"> a public purpose, the appropriateness of</w:t>
      </w:r>
      <w:r w:rsidR="009B2C3D">
        <w:rPr>
          <w:rFonts w:ascii="Baskerville" w:hAnsi="Baskerville"/>
        </w:rPr>
        <w:t xml:space="preserve"> lobbying activities and the</w:t>
      </w:r>
      <w:r>
        <w:rPr>
          <w:rFonts w:ascii="Baskerville" w:hAnsi="Baskerville"/>
        </w:rPr>
        <w:t xml:space="preserve"> hiring </w:t>
      </w:r>
      <w:r w:rsidR="002B15AA">
        <w:rPr>
          <w:rFonts w:ascii="Baskerville" w:hAnsi="Baskerville"/>
        </w:rPr>
        <w:t xml:space="preserve">of </w:t>
      </w:r>
      <w:r>
        <w:rPr>
          <w:rFonts w:ascii="Baskerville" w:hAnsi="Baskerville"/>
        </w:rPr>
        <w:t>paid external lobbyists deserves greater scrutiny</w:t>
      </w:r>
      <w:r w:rsidR="009B2C3D">
        <w:rPr>
          <w:rFonts w:ascii="Baskerville" w:hAnsi="Baskerville"/>
        </w:rPr>
        <w:t xml:space="preserve">. This is </w:t>
      </w:r>
      <w:r>
        <w:rPr>
          <w:rFonts w:ascii="Baskerville" w:hAnsi="Baskerville"/>
        </w:rPr>
        <w:t>particularly i</w:t>
      </w:r>
      <w:r w:rsidR="009B2C3D">
        <w:rPr>
          <w:rFonts w:ascii="Baskerville" w:hAnsi="Baskerville"/>
        </w:rPr>
        <w:t>mportant given that the</w:t>
      </w:r>
      <w:r>
        <w:rPr>
          <w:rFonts w:ascii="Baskerville" w:hAnsi="Baskerville"/>
        </w:rPr>
        <w:t xml:space="preserve"> consequence</w:t>
      </w:r>
      <w:r w:rsidR="009B2C3D">
        <w:rPr>
          <w:rFonts w:ascii="Baskerville" w:hAnsi="Baskerville"/>
        </w:rPr>
        <w:t>s</w:t>
      </w:r>
      <w:r>
        <w:rPr>
          <w:rFonts w:ascii="Baskerville" w:hAnsi="Baskerville"/>
        </w:rPr>
        <w:t xml:space="preserve"> of th</w:t>
      </w:r>
      <w:r w:rsidR="009B2C3D">
        <w:rPr>
          <w:rFonts w:ascii="Baskerville" w:hAnsi="Baskerville"/>
        </w:rPr>
        <w:t>ese</w:t>
      </w:r>
      <w:r>
        <w:rPr>
          <w:rFonts w:ascii="Baskerville" w:hAnsi="Baskerville"/>
        </w:rPr>
        <w:t xml:space="preserve"> lobbying campaign</w:t>
      </w:r>
      <w:r w:rsidR="009B2C3D">
        <w:rPr>
          <w:rFonts w:ascii="Baskerville" w:hAnsi="Baskerville"/>
        </w:rPr>
        <w:t xml:space="preserve">s can include </w:t>
      </w:r>
      <w:r>
        <w:rPr>
          <w:rFonts w:ascii="Baskerville" w:hAnsi="Baskerville"/>
        </w:rPr>
        <w:t xml:space="preserve">reduced public accountability. </w:t>
      </w:r>
    </w:p>
    <w:p w14:paraId="536B4A41" w14:textId="44012E01" w:rsidR="00A036BC" w:rsidRPr="00C717DC" w:rsidRDefault="00A036BC" w:rsidP="00F84BEF">
      <w:pPr>
        <w:spacing w:after="120"/>
        <w:ind w:firstLine="720"/>
        <w:rPr>
          <w:rFonts w:ascii="Baskerville" w:hAnsi="Baskerville"/>
          <w:b/>
          <w:bCs/>
        </w:rPr>
      </w:pPr>
      <w:r w:rsidRPr="00C717DC">
        <w:rPr>
          <w:rFonts w:ascii="Baskerville" w:hAnsi="Baskerville"/>
          <w:b/>
          <w:bCs/>
        </w:rPr>
        <w:t>Improving Lender of Last Report</w:t>
      </w:r>
    </w:p>
    <w:p w14:paraId="7587FFD7" w14:textId="08342490" w:rsidR="002D4BE0" w:rsidRPr="00F84BEF" w:rsidRDefault="002D4BE0" w:rsidP="00F84BEF">
      <w:pPr>
        <w:spacing w:after="120"/>
        <w:ind w:firstLine="720"/>
        <w:rPr>
          <w:rFonts w:ascii="Baskerville" w:hAnsi="Baskerville"/>
        </w:rPr>
      </w:pPr>
      <w:r w:rsidRPr="00F84BEF">
        <w:rPr>
          <w:rFonts w:ascii="Baskerville" w:hAnsi="Baskerville"/>
        </w:rPr>
        <w:t xml:space="preserve">Another factor rendering the FHLBanks ill-suited to serve as lenders of last resort is that there is no assurance FHLBanks will have sufficient access to liquidity during periods of stress, when banks most need a reliable source of liquidity. The Fed does not face any liquidity constraint. It can create as many new liquid assets as needed to quell periods of stress. This raises accountability concerns, as just noted, but it also ensures that the Fed has the capacity to rise to the occasion no matter how much liquidity may be needed. </w:t>
      </w:r>
    </w:p>
    <w:p w14:paraId="7D6EBF35" w14:textId="5AF8B335" w:rsidR="002D4BE0" w:rsidRPr="00F84BEF" w:rsidRDefault="002D4BE0" w:rsidP="00F84BEF">
      <w:pPr>
        <w:spacing w:after="120"/>
        <w:ind w:firstLine="720"/>
        <w:rPr>
          <w:rFonts w:ascii="Baskerville" w:hAnsi="Baskerville"/>
        </w:rPr>
      </w:pPr>
      <w:r w:rsidRPr="00F84BEF">
        <w:rPr>
          <w:rFonts w:ascii="Baskerville" w:hAnsi="Baskerville"/>
        </w:rPr>
        <w:t>In contrast, the FHLBanks have to raise money in the capital markets in order to then loan it on to banks. Most of the time, this works.</w:t>
      </w:r>
      <w:r w:rsidR="007B1A21">
        <w:rPr>
          <w:rStyle w:val="FootnoteReference"/>
        </w:rPr>
        <w:footnoteReference w:id="33"/>
      </w:r>
      <w:r w:rsidRPr="00F84BEF">
        <w:rPr>
          <w:rFonts w:ascii="Baskerville" w:hAnsi="Baskerville"/>
        </w:rPr>
        <w:t xml:space="preserve"> (Just like, most of the time, banks are stable.) The FHLBanks enjoy an implicit government backstop. As with the other government-sponsored enterprises, Fannie Mae and Freddie Mac before they were put into receivership in 2008, this backstop enables the FHLBanks can issue debt more readily and more cheaply, so they have often been able to borrow a lot and re-lend it quickly even during periods of stress.</w:t>
      </w:r>
      <w:r w:rsidRPr="00406992">
        <w:rPr>
          <w:rStyle w:val="FootnoteReference"/>
        </w:rPr>
        <w:footnoteReference w:id="34"/>
      </w:r>
      <w:r w:rsidRPr="00F84BEF">
        <w:rPr>
          <w:rFonts w:ascii="Baskerville" w:hAnsi="Baskerville"/>
        </w:rPr>
        <w:t xml:space="preserve"> But this constraint has at times proved to be a challenge.</w:t>
      </w:r>
      <w:r w:rsidRPr="00406992">
        <w:rPr>
          <w:rStyle w:val="FootnoteReference"/>
        </w:rPr>
        <w:footnoteReference w:id="35"/>
      </w:r>
      <w:r w:rsidRPr="00F84BEF">
        <w:rPr>
          <w:rFonts w:ascii="Baskerville" w:hAnsi="Baskerville"/>
        </w:rPr>
        <w:t xml:space="preserve"> Moreover, the FHLBanks have become more reliant on short-term sources of funding in recent years, increasing their possible fragility and the </w:t>
      </w:r>
      <w:r w:rsidRPr="00F84BEF">
        <w:rPr>
          <w:rFonts w:ascii="Baskerville" w:hAnsi="Baskerville"/>
        </w:rPr>
        <w:lastRenderedPageBreak/>
        <w:t>risk (even if small) that they will not be able to borrow as much as banks might need in the event of real distress.</w:t>
      </w:r>
      <w:r w:rsidRPr="00406992">
        <w:rPr>
          <w:rStyle w:val="FootnoteReference"/>
        </w:rPr>
        <w:footnoteReference w:id="36"/>
      </w:r>
    </w:p>
    <w:p w14:paraId="1CAA47DF" w14:textId="6679F2A8" w:rsidR="002D4BE0" w:rsidRPr="00F84BEF" w:rsidRDefault="002D4BE0" w:rsidP="00F84BEF">
      <w:pPr>
        <w:spacing w:after="120"/>
        <w:ind w:firstLine="720"/>
        <w:rPr>
          <w:rFonts w:ascii="Baskerville" w:hAnsi="Baskerville"/>
        </w:rPr>
      </w:pPr>
      <w:r w:rsidRPr="00F84BEF">
        <w:rPr>
          <w:rFonts w:ascii="Baskerville" w:hAnsi="Baskerville"/>
        </w:rPr>
        <w:t>A further challenge of having two lenders of last resort, one of which also makes loans for other reasons, is that it muddies the information that a well-designed lender</w:t>
      </w:r>
      <w:r w:rsidR="003130BB">
        <w:rPr>
          <w:rFonts w:ascii="Baskerville" w:hAnsi="Baskerville"/>
        </w:rPr>
        <w:t xml:space="preserve"> </w:t>
      </w:r>
      <w:r w:rsidRPr="00F84BEF">
        <w:rPr>
          <w:rFonts w:ascii="Baskerville" w:hAnsi="Baskerville"/>
        </w:rPr>
        <w:t>of</w:t>
      </w:r>
      <w:r w:rsidR="003130BB">
        <w:rPr>
          <w:rFonts w:ascii="Baskerville" w:hAnsi="Baskerville"/>
        </w:rPr>
        <w:t xml:space="preserve"> </w:t>
      </w:r>
      <w:r w:rsidRPr="00F84BEF">
        <w:rPr>
          <w:rFonts w:ascii="Baskerville" w:hAnsi="Baskerville"/>
        </w:rPr>
        <w:t>last resort regime generate</w:t>
      </w:r>
      <w:r w:rsidR="000C7DE6">
        <w:rPr>
          <w:rFonts w:ascii="Baskerville" w:hAnsi="Baskerville"/>
        </w:rPr>
        <w:t>s</w:t>
      </w:r>
      <w:r w:rsidRPr="00F84BEF">
        <w:rPr>
          <w:rFonts w:ascii="Baskerville" w:hAnsi="Baskerville"/>
        </w:rPr>
        <w:t>.</w:t>
      </w:r>
      <w:r w:rsidRPr="00406992">
        <w:rPr>
          <w:rStyle w:val="FootnoteReference"/>
        </w:rPr>
        <w:footnoteReference w:id="37"/>
      </w:r>
      <w:r w:rsidRPr="00406992">
        <w:rPr>
          <w:rStyle w:val="FootnoteReference"/>
        </w:rPr>
        <w:t xml:space="preserve"> </w:t>
      </w:r>
      <w:r w:rsidRPr="00F84BEF">
        <w:rPr>
          <w:rFonts w:ascii="Baskerville" w:hAnsi="Baskerville"/>
        </w:rPr>
        <w:t xml:space="preserve">One reason that banks like going to the FHLBanks and that FHLBank advances are not stigmatized in a manner akin to the discount window is that banks get advances from their local FHLBank for all kinds of reasons. Sometimes it is because they are facing a liquidity shortfall. Other times, the regional FHLBank may offer a </w:t>
      </w:r>
      <w:r w:rsidR="00D94A8C" w:rsidRPr="00F84BEF">
        <w:rPr>
          <w:rFonts w:ascii="Baskerville" w:hAnsi="Baskerville"/>
        </w:rPr>
        <w:t>more attractive</w:t>
      </w:r>
      <w:r w:rsidRPr="00F84BEF">
        <w:rPr>
          <w:rFonts w:ascii="Baskerville" w:hAnsi="Baskerville"/>
        </w:rPr>
        <w:t xml:space="preserve"> rate on medium-term financing </w:t>
      </w:r>
      <w:r w:rsidR="00D94A8C" w:rsidRPr="00F84BEF">
        <w:rPr>
          <w:rFonts w:ascii="Baskerville" w:hAnsi="Baskerville"/>
        </w:rPr>
        <w:t>than</w:t>
      </w:r>
      <w:r w:rsidRPr="00F84BEF">
        <w:rPr>
          <w:rFonts w:ascii="Baskerville" w:hAnsi="Baskerville"/>
        </w:rPr>
        <w:t xml:space="preserve"> other</w:t>
      </w:r>
      <w:r w:rsidR="00D94A8C" w:rsidRPr="00F84BEF">
        <w:rPr>
          <w:rFonts w:ascii="Baskerville" w:hAnsi="Baskerville"/>
        </w:rPr>
        <w:t xml:space="preserve"> possible</w:t>
      </w:r>
      <w:r w:rsidRPr="00F84BEF">
        <w:rPr>
          <w:rFonts w:ascii="Baskerville" w:hAnsi="Baskerville"/>
        </w:rPr>
        <w:t xml:space="preserve"> sources. Yet other times, a bank may be seeking to diversify its funding sources. </w:t>
      </w:r>
      <w:r w:rsidR="000C7DE6">
        <w:rPr>
          <w:rFonts w:ascii="Baskerville" w:hAnsi="Baskerville"/>
        </w:rPr>
        <w:t xml:space="preserve">Sometimes </w:t>
      </w:r>
      <w:r w:rsidR="008D6448">
        <w:rPr>
          <w:rFonts w:ascii="Baskerville" w:hAnsi="Baskerville"/>
        </w:rPr>
        <w:t>FHLB</w:t>
      </w:r>
      <w:r w:rsidR="0046376A">
        <w:rPr>
          <w:rFonts w:ascii="Baskerville" w:hAnsi="Baskerville"/>
        </w:rPr>
        <w:t>ank</w:t>
      </w:r>
      <w:r w:rsidR="008D6448">
        <w:rPr>
          <w:rFonts w:ascii="Baskerville" w:hAnsi="Baskerville"/>
        </w:rPr>
        <w:t xml:space="preserve"> borrowing</w:t>
      </w:r>
      <w:r w:rsidR="008D6448">
        <w:rPr>
          <w:rFonts w:ascii="Baskerville" w:hAnsi="Baskerville"/>
        </w:rPr>
        <w:t xml:space="preserve"> </w:t>
      </w:r>
      <w:r w:rsidR="000C7DE6">
        <w:rPr>
          <w:rFonts w:ascii="Baskerville" w:hAnsi="Baskerville"/>
        </w:rPr>
        <w:t>may even hide distress at the bank, as was the case recently with Heartland Tri-State Bank</w:t>
      </w:r>
      <w:r w:rsidR="008D6448">
        <w:rPr>
          <w:rFonts w:ascii="Baskerville" w:hAnsi="Baskerville"/>
        </w:rPr>
        <w:t>. Heartland’s</w:t>
      </w:r>
      <w:r w:rsidR="000C7DE6">
        <w:rPr>
          <w:rFonts w:ascii="Baskerville" w:hAnsi="Baskerville"/>
        </w:rPr>
        <w:t xml:space="preserve"> executive had lost millions </w:t>
      </w:r>
      <w:r w:rsidR="008D6448">
        <w:rPr>
          <w:rFonts w:ascii="Baskerville" w:hAnsi="Baskerville"/>
        </w:rPr>
        <w:t xml:space="preserve">of the bank’s money </w:t>
      </w:r>
      <w:r w:rsidR="000C7DE6">
        <w:rPr>
          <w:rFonts w:ascii="Baskerville" w:hAnsi="Baskerville"/>
        </w:rPr>
        <w:t>in a crypto scam</w:t>
      </w:r>
      <w:r w:rsidR="0046376A">
        <w:rPr>
          <w:rFonts w:ascii="Baskerville" w:hAnsi="Baskerville"/>
        </w:rPr>
        <w:t>.</w:t>
      </w:r>
      <w:r w:rsidR="0046376A">
        <w:rPr>
          <w:rStyle w:val="FootnoteReference"/>
        </w:rPr>
        <w:footnoteReference w:id="38"/>
      </w:r>
      <w:r w:rsidR="0046376A">
        <w:rPr>
          <w:rFonts w:ascii="Baskerville" w:hAnsi="Baskerville"/>
        </w:rPr>
        <w:t xml:space="preserve"> Yet disclosure of this fact was delayed, as Heartland</w:t>
      </w:r>
      <w:r w:rsidR="000C7DE6">
        <w:rPr>
          <w:rFonts w:ascii="Baskerville" w:hAnsi="Baskerville"/>
        </w:rPr>
        <w:t xml:space="preserve"> </w:t>
      </w:r>
      <w:r w:rsidR="0046376A">
        <w:rPr>
          <w:rFonts w:ascii="Baskerville" w:hAnsi="Baskerville"/>
        </w:rPr>
        <w:t>managed</w:t>
      </w:r>
      <w:r w:rsidR="000C7DE6">
        <w:rPr>
          <w:rFonts w:ascii="Baskerville" w:hAnsi="Baskerville"/>
        </w:rPr>
        <w:t xml:space="preserve"> to borrow</w:t>
      </w:r>
      <w:r w:rsidR="003804F7">
        <w:rPr>
          <w:rFonts w:ascii="Baskerville" w:hAnsi="Baskerville"/>
        </w:rPr>
        <w:t xml:space="preserve"> </w:t>
      </w:r>
      <w:r w:rsidR="000C7DE6">
        <w:rPr>
          <w:rFonts w:ascii="Baskerville" w:hAnsi="Baskerville"/>
        </w:rPr>
        <w:t>a substantial share of the bank’s asset base in under 60 days</w:t>
      </w:r>
      <w:r w:rsidR="003804F7">
        <w:rPr>
          <w:rFonts w:ascii="Baskerville" w:hAnsi="Baskerville"/>
        </w:rPr>
        <w:t>, despite the bank not having borrowed from an FHLB</w:t>
      </w:r>
      <w:r w:rsidR="0046376A">
        <w:rPr>
          <w:rFonts w:ascii="Baskerville" w:hAnsi="Baskerville"/>
        </w:rPr>
        <w:t>ank</w:t>
      </w:r>
      <w:r w:rsidR="003804F7">
        <w:rPr>
          <w:rFonts w:ascii="Baskerville" w:hAnsi="Baskerville"/>
        </w:rPr>
        <w:t xml:space="preserve"> in years</w:t>
      </w:r>
      <w:r w:rsidR="000C7DE6">
        <w:rPr>
          <w:rFonts w:ascii="Baskerville" w:hAnsi="Baskerville"/>
        </w:rPr>
        <w:t>.</w:t>
      </w:r>
      <w:r w:rsidR="0046376A">
        <w:rPr>
          <w:rStyle w:val="FootnoteReference"/>
        </w:rPr>
        <w:footnoteReference w:id="39"/>
      </w:r>
      <w:r w:rsidR="000C7DE6">
        <w:rPr>
          <w:rFonts w:ascii="Baskerville" w:hAnsi="Baskerville"/>
        </w:rPr>
        <w:t xml:space="preserve"> </w:t>
      </w:r>
      <w:r w:rsidRPr="00F84BEF">
        <w:rPr>
          <w:rFonts w:ascii="Baskerville" w:hAnsi="Baskerville"/>
        </w:rPr>
        <w:t>A bank’s decision to obtain an advance from a FHLBank is an inherently noisy signal. It may indicate that a bank, or the banking system generally, is facing liquidity strains, but it may also be attributable to other factors.</w:t>
      </w:r>
    </w:p>
    <w:p w14:paraId="4B93F3FA" w14:textId="1D3C9DC4" w:rsidR="002D4BE0" w:rsidRPr="00F84BEF" w:rsidRDefault="002D4BE0" w:rsidP="00F84BEF">
      <w:pPr>
        <w:spacing w:after="120"/>
        <w:ind w:firstLine="720"/>
        <w:rPr>
          <w:rFonts w:ascii="Baskerville" w:hAnsi="Baskerville"/>
        </w:rPr>
      </w:pPr>
      <w:r w:rsidRPr="00F84BEF">
        <w:rPr>
          <w:rFonts w:ascii="Baskerville" w:hAnsi="Baskerville"/>
        </w:rPr>
        <w:t>There are fewer reasons that a bank, or banks in general, seek financing from a true lender of last resort, such as the discount window. When there is a broad increase in bank borrowing from the discount window, for example, it usually indicates that there is something amiss causing liquidity shortfalls in the system. This provides the Fed useful information. It alerts the Fed that there may be a growing threat to that stability and that it may want to figure out that underlying cause</w:t>
      </w:r>
      <w:r w:rsidR="00014D83">
        <w:rPr>
          <w:rFonts w:ascii="Baskerville" w:hAnsi="Baskerville"/>
        </w:rPr>
        <w:t>, if it has not already</w:t>
      </w:r>
      <w:r w:rsidRPr="00F84BEF">
        <w:rPr>
          <w:rFonts w:ascii="Baskerville" w:hAnsi="Baskerville"/>
        </w:rPr>
        <w:t>.</w:t>
      </w:r>
    </w:p>
    <w:p w14:paraId="06039FFB" w14:textId="3FF38303" w:rsidR="00086195" w:rsidRPr="00F84BEF" w:rsidRDefault="002D4BE0" w:rsidP="00F84BEF">
      <w:pPr>
        <w:spacing w:after="120"/>
        <w:ind w:firstLine="720"/>
        <w:rPr>
          <w:rFonts w:ascii="Baskerville" w:hAnsi="Baskerville"/>
        </w:rPr>
      </w:pPr>
      <w:r w:rsidRPr="00F84BEF">
        <w:rPr>
          <w:rFonts w:ascii="Baskerville" w:hAnsi="Baskerville"/>
        </w:rPr>
        <w:t xml:space="preserve">To be sure, given banks’ reluctance to use the discount window, there </w:t>
      </w:r>
      <w:r w:rsidR="00014D83">
        <w:rPr>
          <w:rFonts w:ascii="Baskerville" w:hAnsi="Baskerville"/>
        </w:rPr>
        <w:t>are</w:t>
      </w:r>
      <w:r w:rsidRPr="00F84BEF">
        <w:rPr>
          <w:rFonts w:ascii="Baskerville" w:hAnsi="Baskerville"/>
        </w:rPr>
        <w:t xml:space="preserve"> benefits at times to the ways banks have used FHLBanks advances as a source of liquidity during times of stress. </w:t>
      </w:r>
      <w:r w:rsidR="00014D83">
        <w:rPr>
          <w:rFonts w:ascii="Baskerville" w:hAnsi="Baskerville"/>
        </w:rPr>
        <w:t>D</w:t>
      </w:r>
      <w:r w:rsidRPr="00F84BEF">
        <w:rPr>
          <w:rFonts w:ascii="Baskerville" w:hAnsi="Baskerville"/>
        </w:rPr>
        <w:t>uring periods of stress, banks, the banking system</w:t>
      </w:r>
      <w:r w:rsidR="003130BB">
        <w:rPr>
          <w:rFonts w:ascii="Baskerville" w:hAnsi="Baskerville"/>
        </w:rPr>
        <w:t>,</w:t>
      </w:r>
      <w:r w:rsidRPr="00F84BEF">
        <w:rPr>
          <w:rFonts w:ascii="Baskerville" w:hAnsi="Baskerville"/>
        </w:rPr>
        <w:t xml:space="preserve"> and financial system more generally benefit from additional liquidity, regardless of its source. </w:t>
      </w:r>
      <w:r w:rsidR="00014D83">
        <w:rPr>
          <w:rFonts w:ascii="Baskerville" w:hAnsi="Baskerville"/>
        </w:rPr>
        <w:t>T</w:t>
      </w:r>
      <w:r w:rsidRPr="00F84BEF">
        <w:rPr>
          <w:rFonts w:ascii="Baskerville" w:hAnsi="Baskerville"/>
        </w:rPr>
        <w:t>hese benefits are a reminder why both the FHLBank system and discount window should be fixed in tandem</w:t>
      </w:r>
      <w:r w:rsidR="00014D83">
        <w:rPr>
          <w:rFonts w:ascii="Baskerville" w:hAnsi="Baskerville"/>
        </w:rPr>
        <w:t>, even if the policies to do so are held by different agencies</w:t>
      </w:r>
      <w:r w:rsidRPr="00F84BEF">
        <w:rPr>
          <w:rFonts w:ascii="Baskerville" w:hAnsi="Baskerville"/>
        </w:rPr>
        <w:t>. Just as fixing the FHLBank system is key to enhancing the utility of the discount window, ensuring the discount window is viable and well-functioning is key to minimizing the challenges that could otherwise arise from introducing needed reforms to the FHLBank system.</w:t>
      </w:r>
      <w:r w:rsidR="00086195" w:rsidRPr="00F84BEF">
        <w:rPr>
          <w:rFonts w:ascii="Baskerville" w:hAnsi="Baskerville"/>
        </w:rPr>
        <w:t xml:space="preserve"> </w:t>
      </w:r>
    </w:p>
    <w:p w14:paraId="541D11B6" w14:textId="7BF5F024" w:rsidR="002D4BE0" w:rsidRPr="00F84BEF" w:rsidRDefault="00086195" w:rsidP="00F84BEF">
      <w:pPr>
        <w:spacing w:after="120"/>
        <w:ind w:firstLine="720"/>
        <w:rPr>
          <w:rFonts w:ascii="Baskerville" w:hAnsi="Baskerville"/>
        </w:rPr>
      </w:pPr>
      <w:r w:rsidRPr="00F84BEF">
        <w:rPr>
          <w:rFonts w:ascii="Baskerville" w:hAnsi="Baskerville"/>
        </w:rPr>
        <w:t>The good news is that the Fed and other bank regulators are taking meaningful steps to try to enhance the usability of the discount window and to reduce the associated stigma, and there are indicia</w:t>
      </w:r>
      <w:r w:rsidR="003130BB">
        <w:rPr>
          <w:rFonts w:ascii="Baskerville" w:hAnsi="Baskerville"/>
        </w:rPr>
        <w:t xml:space="preserve"> that</w:t>
      </w:r>
      <w:r w:rsidRPr="00F84BEF">
        <w:rPr>
          <w:rFonts w:ascii="Baskerville" w:hAnsi="Baskerville"/>
        </w:rPr>
        <w:t xml:space="preserve"> these efforts will become more robust in the months and years ahead.</w:t>
      </w:r>
      <w:r w:rsidRPr="00F84BEF">
        <w:rPr>
          <w:rStyle w:val="FootnoteReference"/>
        </w:rPr>
        <w:footnoteReference w:id="40"/>
      </w:r>
      <w:r w:rsidRPr="00F84BEF">
        <w:rPr>
          <w:rFonts w:ascii="Baskerville" w:hAnsi="Baskerville"/>
        </w:rPr>
        <w:t xml:space="preserve"> </w:t>
      </w:r>
      <w:r w:rsidRPr="00F84BEF">
        <w:rPr>
          <w:rFonts w:ascii="Baskerville" w:hAnsi="Baskerville"/>
        </w:rPr>
        <w:lastRenderedPageBreak/>
        <w:t xml:space="preserve">These developments should further reduce the social value of having the FHLBanks play a role in general liquidity provision and make efforts to clarify the </w:t>
      </w:r>
      <w:r w:rsidR="007263C3">
        <w:rPr>
          <w:rFonts w:ascii="Baskerville" w:hAnsi="Baskerville"/>
        </w:rPr>
        <w:t xml:space="preserve">mission of the </w:t>
      </w:r>
      <w:r w:rsidRPr="00F84BEF">
        <w:rPr>
          <w:rFonts w:ascii="Baskerville" w:hAnsi="Baskerville"/>
        </w:rPr>
        <w:t>FHLBanks all the more timely.</w:t>
      </w:r>
    </w:p>
    <w:p w14:paraId="7A3D4F6D" w14:textId="7C4B2440" w:rsidR="00C30D0B" w:rsidRPr="00F84BEF" w:rsidRDefault="00014D83" w:rsidP="00F84BEF">
      <w:pPr>
        <w:spacing w:after="120"/>
        <w:ind w:firstLine="720"/>
        <w:rPr>
          <w:rFonts w:ascii="Baskerville" w:hAnsi="Baskerville"/>
        </w:rPr>
      </w:pPr>
      <w:r>
        <w:rPr>
          <w:rFonts w:ascii="Baskerville" w:hAnsi="Baskerville"/>
        </w:rPr>
        <w:t>T</w:t>
      </w:r>
      <w:r w:rsidR="00C30D0B" w:rsidRPr="00F84BEF">
        <w:rPr>
          <w:rFonts w:ascii="Baskerville" w:hAnsi="Baskerville"/>
        </w:rPr>
        <w:t xml:space="preserve">he CMA should clarify that general provision of liquidity to all members is outside the mission of the FHLBanks. </w:t>
      </w:r>
      <w:r>
        <w:rPr>
          <w:rFonts w:ascii="Baskerville" w:hAnsi="Baskerville"/>
        </w:rPr>
        <w:t>M</w:t>
      </w:r>
      <w:r w:rsidR="00C30D0B" w:rsidRPr="00F84BEF">
        <w:rPr>
          <w:rFonts w:ascii="Baskerville" w:hAnsi="Baskerville"/>
        </w:rPr>
        <w:t xml:space="preserve">anaging liquidity is </w:t>
      </w:r>
      <w:r>
        <w:rPr>
          <w:rFonts w:ascii="Baskerville" w:hAnsi="Baskerville"/>
        </w:rPr>
        <w:t xml:space="preserve">often </w:t>
      </w:r>
      <w:r w:rsidR="00C30D0B" w:rsidRPr="00F84BEF">
        <w:rPr>
          <w:rFonts w:ascii="Baskerville" w:hAnsi="Baskerville"/>
        </w:rPr>
        <w:t>a challenge for any financial institution</w:t>
      </w:r>
      <w:r>
        <w:rPr>
          <w:rFonts w:ascii="Baskerville" w:hAnsi="Baskerville"/>
        </w:rPr>
        <w:t>.</w:t>
      </w:r>
      <w:r w:rsidR="007C7A8E" w:rsidRPr="00F84BEF">
        <w:rPr>
          <w:rFonts w:ascii="Baskerville" w:hAnsi="Baskerville"/>
        </w:rPr>
        <w:t xml:space="preserve"> </w:t>
      </w:r>
      <w:r>
        <w:rPr>
          <w:rFonts w:ascii="Baskerville" w:hAnsi="Baskerville"/>
        </w:rPr>
        <w:t>P</w:t>
      </w:r>
      <w:r w:rsidR="007C7A8E" w:rsidRPr="00F84BEF">
        <w:rPr>
          <w:rFonts w:ascii="Baskerville" w:hAnsi="Baskerville"/>
        </w:rPr>
        <w:t xml:space="preserve">roviding liquidity and a more stable source of funding to financial institution members is a key way that the FHLBanks help promote housing and community development. Moreover, </w:t>
      </w:r>
      <w:r w:rsidR="00C30D0B" w:rsidRPr="00F84BEF">
        <w:rPr>
          <w:rFonts w:ascii="Baskerville" w:hAnsi="Baskerville"/>
        </w:rPr>
        <w:t xml:space="preserve">overly rigid </w:t>
      </w:r>
      <w:r w:rsidR="007C7A8E" w:rsidRPr="00F84BEF">
        <w:rPr>
          <w:rFonts w:ascii="Baskerville" w:hAnsi="Baskerville"/>
        </w:rPr>
        <w:t xml:space="preserve">or demanding </w:t>
      </w:r>
      <w:r w:rsidR="00C30D0B" w:rsidRPr="00F84BEF">
        <w:rPr>
          <w:rFonts w:ascii="Baskerville" w:hAnsi="Baskerville"/>
        </w:rPr>
        <w:t xml:space="preserve">requirements </w:t>
      </w:r>
      <w:r w:rsidR="007C7A8E" w:rsidRPr="00F84BEF">
        <w:rPr>
          <w:rFonts w:ascii="Baskerville" w:hAnsi="Baskerville"/>
        </w:rPr>
        <w:t xml:space="preserve">that put the onus on financial institutions </w:t>
      </w:r>
      <w:r w:rsidR="00C30D0B" w:rsidRPr="00F84BEF">
        <w:rPr>
          <w:rFonts w:ascii="Baskerville" w:hAnsi="Baskerville"/>
        </w:rPr>
        <w:t xml:space="preserve">to show that advances are being used for housing and community development aims could </w:t>
      </w:r>
      <w:r w:rsidR="00125D1F" w:rsidRPr="00F84BEF">
        <w:rPr>
          <w:rFonts w:ascii="Baskerville" w:hAnsi="Baskerville"/>
        </w:rPr>
        <w:t xml:space="preserve">excessively constrain the use of advances. </w:t>
      </w:r>
      <w:r>
        <w:rPr>
          <w:rFonts w:ascii="Baskerville" w:hAnsi="Baskerville"/>
        </w:rPr>
        <w:t>T</w:t>
      </w:r>
      <w:r w:rsidR="00C30D0B" w:rsidRPr="00F84BEF">
        <w:rPr>
          <w:rFonts w:ascii="Baskerville" w:hAnsi="Baskerville"/>
        </w:rPr>
        <w:t xml:space="preserve">he solution to this quandary is </w:t>
      </w:r>
      <w:r w:rsidR="007C7A8E" w:rsidRPr="00F84BEF">
        <w:rPr>
          <w:rFonts w:ascii="Baskerville" w:hAnsi="Baskerville"/>
        </w:rPr>
        <w:t>to devise workable</w:t>
      </w:r>
      <w:r w:rsidR="00C30D0B" w:rsidRPr="00F84BEF">
        <w:rPr>
          <w:rFonts w:ascii="Baskerville" w:hAnsi="Baskerville"/>
        </w:rPr>
        <w:t xml:space="preserve"> proxies for when advances are likely to meaningfully serve housing or community development aims. Some initial thoughts on how this might be done follow. </w:t>
      </w:r>
    </w:p>
    <w:p w14:paraId="1D1D0069" w14:textId="77777777" w:rsidR="00B33E9B" w:rsidRPr="00F84BEF" w:rsidRDefault="00644E37" w:rsidP="00F84BEF">
      <w:pPr>
        <w:spacing w:after="120"/>
        <w:ind w:firstLine="720"/>
        <w:rPr>
          <w:rFonts w:ascii="Baskerville" w:hAnsi="Baskerville"/>
          <w:b/>
          <w:bCs/>
        </w:rPr>
      </w:pPr>
      <w:r w:rsidRPr="00F84BEF">
        <w:rPr>
          <w:rFonts w:ascii="Baskerville" w:hAnsi="Baskerville"/>
          <w:b/>
          <w:bCs/>
        </w:rPr>
        <w:t xml:space="preserve">Advances that Support Housing and Community Development </w:t>
      </w:r>
    </w:p>
    <w:p w14:paraId="7CA580B3" w14:textId="561D8B82" w:rsidR="007C7A8E" w:rsidRPr="00F84BEF" w:rsidRDefault="009E5CBD" w:rsidP="00F84BEF">
      <w:pPr>
        <w:spacing w:after="120"/>
        <w:ind w:firstLine="720"/>
        <w:rPr>
          <w:rFonts w:ascii="Baskerville" w:hAnsi="Baskerville"/>
        </w:rPr>
      </w:pPr>
      <w:r w:rsidRPr="00F84BEF">
        <w:rPr>
          <w:rFonts w:ascii="Baskerville" w:hAnsi="Baskerville"/>
        </w:rPr>
        <w:t>FHLBank members are a diverse group</w:t>
      </w:r>
      <w:r w:rsidR="00644E37" w:rsidRPr="00F84BEF">
        <w:rPr>
          <w:rFonts w:ascii="Baskerville" w:hAnsi="Baskerville"/>
        </w:rPr>
        <w:t xml:space="preserve"> and their reasons for using advances vary. </w:t>
      </w:r>
      <w:r w:rsidR="007C7A8E" w:rsidRPr="00F84BEF">
        <w:rPr>
          <w:rFonts w:ascii="Baskerville" w:hAnsi="Baskerville"/>
        </w:rPr>
        <w:t>M</w:t>
      </w:r>
      <w:r w:rsidR="00A845C2" w:rsidRPr="00F84BEF">
        <w:rPr>
          <w:rFonts w:ascii="Baskerville" w:hAnsi="Baskerville"/>
        </w:rPr>
        <w:t xml:space="preserve">any of the biggest borrowers from the FHLBanks have myriad other ways of accessing </w:t>
      </w:r>
      <w:r w:rsidR="00644E37" w:rsidRPr="00F84BEF">
        <w:rPr>
          <w:rFonts w:ascii="Baskerville" w:hAnsi="Baskerville"/>
        </w:rPr>
        <w:t>liquidity</w:t>
      </w:r>
      <w:r w:rsidR="007C7A8E" w:rsidRPr="00F84BEF">
        <w:rPr>
          <w:rFonts w:ascii="Baskerville" w:hAnsi="Baskerville"/>
        </w:rPr>
        <w:t xml:space="preserve"> and funding</w:t>
      </w:r>
      <w:r w:rsidR="00A845C2" w:rsidRPr="00F84BEF">
        <w:rPr>
          <w:rFonts w:ascii="Baskerville" w:hAnsi="Baskerville"/>
        </w:rPr>
        <w:t xml:space="preserve"> so long as they remain healthy</w:t>
      </w:r>
      <w:r w:rsidR="007C7A8E" w:rsidRPr="00F84BEF">
        <w:rPr>
          <w:rFonts w:ascii="Baskerville" w:hAnsi="Baskerville"/>
        </w:rPr>
        <w:t>. T</w:t>
      </w:r>
      <w:r w:rsidR="00A845C2" w:rsidRPr="00F84BEF">
        <w:rPr>
          <w:rFonts w:ascii="Baskerville" w:hAnsi="Baskerville"/>
        </w:rPr>
        <w:t>he same is not true for many of the smaller financial institutions.</w:t>
      </w:r>
      <w:r w:rsidR="007C7A8E" w:rsidRPr="00F84BEF">
        <w:rPr>
          <w:rFonts w:ascii="Baskerville" w:hAnsi="Baskerville"/>
        </w:rPr>
        <w:t xml:space="preserve"> Similarly, there are significant differences in the liquidity of the various types of assets that the FHLBanks accept as collateral. Mortgage-backed securities (MBS), particularly agency MBS, for example, are far more liquid tha</w:t>
      </w:r>
      <w:r w:rsidR="00125D1F" w:rsidRPr="00F84BEF">
        <w:rPr>
          <w:rFonts w:ascii="Baskerville" w:hAnsi="Baskerville"/>
        </w:rPr>
        <w:t>n</w:t>
      </w:r>
      <w:r w:rsidR="007C7A8E" w:rsidRPr="00F84BEF">
        <w:rPr>
          <w:rFonts w:ascii="Baskerville" w:hAnsi="Baskerville"/>
        </w:rPr>
        <w:t xml:space="preserve"> loans to small businesses or mortgages secured by atypical properties, even though more innovative forms of housing development may be just what is needed to address today’s affordability crisis.</w:t>
      </w:r>
      <w:r w:rsidR="00D404D0">
        <w:rPr>
          <w:rStyle w:val="FootnoteReference"/>
        </w:rPr>
        <w:footnoteReference w:id="41"/>
      </w:r>
      <w:r w:rsidR="007C7A8E" w:rsidRPr="00F84BEF">
        <w:rPr>
          <w:rFonts w:ascii="Baskerville" w:hAnsi="Baskerville"/>
        </w:rPr>
        <w:t xml:space="preserve"> Mapping the types of institutions and the types of assets where frictions are most likely to arise can provide a guide for those domains where the FHLBanks can have the greatest positive impact in encouraging lending. And it is by encouraging lending that would otherwise not happen that the FHLBanks can most effectively promote housing and community development. </w:t>
      </w:r>
      <w:r w:rsidR="00125D1F" w:rsidRPr="00F84BEF">
        <w:rPr>
          <w:rFonts w:ascii="Baskerville" w:hAnsi="Baskerville"/>
        </w:rPr>
        <w:t>This was the original design of the FHLBanks</w:t>
      </w:r>
      <w:r w:rsidR="003130BB">
        <w:rPr>
          <w:rFonts w:ascii="Baskerville" w:hAnsi="Baskerville"/>
        </w:rPr>
        <w:t>,</w:t>
      </w:r>
      <w:r w:rsidR="00125D1F" w:rsidRPr="00F84BEF">
        <w:rPr>
          <w:rFonts w:ascii="Baskerville" w:hAnsi="Baskerville"/>
        </w:rPr>
        <w:t xml:space="preserve"> and it should again be restored as central to their mission.</w:t>
      </w:r>
    </w:p>
    <w:p w14:paraId="74475AF2" w14:textId="23293058" w:rsidR="00FB713C" w:rsidRPr="00F84BEF" w:rsidRDefault="00125D1F" w:rsidP="00F84BEF">
      <w:pPr>
        <w:spacing w:after="120"/>
        <w:ind w:firstLine="720"/>
        <w:rPr>
          <w:rFonts w:ascii="Baskerville" w:hAnsi="Baskerville"/>
        </w:rPr>
      </w:pPr>
      <w:r w:rsidRPr="00F84BEF">
        <w:rPr>
          <w:rFonts w:ascii="Baskerville" w:hAnsi="Baskerville"/>
        </w:rPr>
        <w:t>Looking back to the early decades of the FHLBanks provides insight into how they can serve aims that remain relevant</w:t>
      </w:r>
      <w:r w:rsidR="00644E37" w:rsidRPr="00F84BEF">
        <w:rPr>
          <w:rFonts w:ascii="Baskerville" w:hAnsi="Baskerville"/>
        </w:rPr>
        <w:t xml:space="preserve">. </w:t>
      </w:r>
      <w:r w:rsidR="00C30D0B" w:rsidRPr="00F84BEF">
        <w:rPr>
          <w:rFonts w:ascii="Baskerville" w:hAnsi="Baskerville"/>
        </w:rPr>
        <w:t>In contrast to the Fed, the FHLBank</w:t>
      </w:r>
      <w:r w:rsidR="00D3407C" w:rsidRPr="00F84BEF">
        <w:rPr>
          <w:rFonts w:ascii="Baskerville" w:hAnsi="Baskerville"/>
        </w:rPr>
        <w:t xml:space="preserve"> system </w:t>
      </w:r>
      <w:r w:rsidR="00B34C0C">
        <w:rPr>
          <w:rFonts w:ascii="Baskerville" w:hAnsi="Baskerville"/>
        </w:rPr>
        <w:t xml:space="preserve">was </w:t>
      </w:r>
      <w:r w:rsidR="00C30D0B" w:rsidRPr="00F84BEF">
        <w:rPr>
          <w:rFonts w:ascii="Baskerville" w:hAnsi="Baskerville"/>
        </w:rPr>
        <w:t>not designed to serve merely as a lender of last resort</w:t>
      </w:r>
      <w:r w:rsidR="003130BB">
        <w:rPr>
          <w:rFonts w:ascii="Baskerville" w:hAnsi="Baskerville"/>
        </w:rPr>
        <w:t xml:space="preserve"> that</w:t>
      </w:r>
      <w:r w:rsidR="00C30D0B" w:rsidRPr="00F84BEF">
        <w:rPr>
          <w:rFonts w:ascii="Baskerville" w:hAnsi="Baskerville"/>
        </w:rPr>
        <w:t xml:space="preserve"> enhance</w:t>
      </w:r>
      <w:r w:rsidR="003130BB">
        <w:rPr>
          <w:rFonts w:ascii="Baskerville" w:hAnsi="Baskerville"/>
        </w:rPr>
        <w:t>s</w:t>
      </w:r>
      <w:r w:rsidR="00C30D0B" w:rsidRPr="00F84BEF">
        <w:rPr>
          <w:rFonts w:ascii="Baskerville" w:hAnsi="Baskerville"/>
        </w:rPr>
        <w:t xml:space="preserve"> the stability of </w:t>
      </w:r>
      <w:r w:rsidRPr="00F84BEF">
        <w:rPr>
          <w:rFonts w:ascii="Baskerville" w:hAnsi="Baskerville"/>
        </w:rPr>
        <w:t xml:space="preserve">financial institution </w:t>
      </w:r>
      <w:r w:rsidR="00C30D0B" w:rsidRPr="00F84BEF">
        <w:rPr>
          <w:rFonts w:ascii="Baskerville" w:hAnsi="Baskerville"/>
        </w:rPr>
        <w:t>members in the face of economic shocks</w:t>
      </w:r>
      <w:r w:rsidR="00314953" w:rsidRPr="00F84BEF">
        <w:rPr>
          <w:rFonts w:ascii="Baskerville" w:hAnsi="Baskerville"/>
        </w:rPr>
        <w:t>. They were designed to promote the extension of a particular type of credit—home loans—and t</w:t>
      </w:r>
      <w:r w:rsidR="00D3407C" w:rsidRPr="00F84BEF">
        <w:rPr>
          <w:rFonts w:ascii="Baskerville" w:hAnsi="Baskerville"/>
        </w:rPr>
        <w:t xml:space="preserve">o encourage financial institution members to make those loans on terms that served </w:t>
      </w:r>
      <w:r w:rsidRPr="00F84BEF">
        <w:rPr>
          <w:rFonts w:ascii="Baskerville" w:hAnsi="Baskerville"/>
        </w:rPr>
        <w:t>the needs of working families</w:t>
      </w:r>
      <w:r w:rsidR="00D3407C" w:rsidRPr="00F84BEF">
        <w:rPr>
          <w:rFonts w:ascii="Baskerville" w:hAnsi="Baskerville"/>
        </w:rPr>
        <w:t>.</w:t>
      </w:r>
      <w:r w:rsidR="00954434">
        <w:rPr>
          <w:rStyle w:val="FootnoteReference"/>
        </w:rPr>
        <w:footnoteReference w:id="42"/>
      </w:r>
      <w:r w:rsidR="00D3407C" w:rsidRPr="00F84BEF">
        <w:rPr>
          <w:rFonts w:ascii="Baskerville" w:hAnsi="Baskerville"/>
        </w:rPr>
        <w:t xml:space="preserve"> </w:t>
      </w:r>
      <w:r w:rsidR="00FB713C" w:rsidRPr="00F84BEF">
        <w:rPr>
          <w:rFonts w:ascii="Baskerville" w:hAnsi="Baskerville"/>
        </w:rPr>
        <w:t xml:space="preserve">Congress set them up to accomplish these aims through membership and </w:t>
      </w:r>
      <w:r w:rsidR="00314953" w:rsidRPr="00F84BEF">
        <w:rPr>
          <w:rFonts w:ascii="Baskerville" w:hAnsi="Baskerville"/>
        </w:rPr>
        <w:t>collateral policies</w:t>
      </w:r>
      <w:r w:rsidR="00FB713C" w:rsidRPr="00F84BEF">
        <w:rPr>
          <w:rFonts w:ascii="Baskerville" w:hAnsi="Baskerville"/>
        </w:rPr>
        <w:t>. Individuals, for example, were not allowed to join the FHLBank system even though they were among the major issuers of mortgages at the time. Neither were state banks, even though many made home loans.</w:t>
      </w:r>
      <w:r w:rsidRPr="00F84BEF">
        <w:rPr>
          <w:rFonts w:ascii="Baskerville" w:hAnsi="Baskerville"/>
        </w:rPr>
        <w:t xml:space="preserve"> Instead, the focus was on institutions that specialized in serving working Americans and promoting housing (various forms of thrifts) and, to a lesser extent, supporting a secondary market for mortgages at a time the government did not otherwise promote the creation of such a market (hence the inclusion of insurance companies). </w:t>
      </w:r>
    </w:p>
    <w:p w14:paraId="7078E2C8" w14:textId="77777777" w:rsidR="00322CFE" w:rsidRPr="00F84BEF" w:rsidRDefault="00322CFE" w:rsidP="00F84BEF">
      <w:pPr>
        <w:spacing w:after="120"/>
        <w:ind w:firstLine="720"/>
        <w:rPr>
          <w:rFonts w:ascii="Baskerville" w:hAnsi="Baskerville"/>
          <w:b/>
          <w:bCs/>
        </w:rPr>
      </w:pPr>
      <w:r w:rsidRPr="00F84BEF">
        <w:rPr>
          <w:rFonts w:ascii="Baskerville" w:hAnsi="Baskerville"/>
          <w:b/>
          <w:bCs/>
        </w:rPr>
        <w:lastRenderedPageBreak/>
        <w:t xml:space="preserve">Collateral </w:t>
      </w:r>
    </w:p>
    <w:p w14:paraId="68A11002" w14:textId="4DF35294" w:rsidR="002D4BE0" w:rsidRPr="00F84BEF" w:rsidRDefault="00314953" w:rsidP="00F84BEF">
      <w:pPr>
        <w:spacing w:after="120"/>
        <w:ind w:firstLine="720"/>
        <w:rPr>
          <w:rFonts w:ascii="Baskerville" w:hAnsi="Baskerville"/>
        </w:rPr>
      </w:pPr>
      <w:r w:rsidRPr="00F84BEF">
        <w:rPr>
          <w:rFonts w:ascii="Baskerville" w:hAnsi="Baskerville"/>
        </w:rPr>
        <w:t xml:space="preserve"> </w:t>
      </w:r>
      <w:r w:rsidR="00FB713C" w:rsidRPr="00F84BEF">
        <w:rPr>
          <w:rFonts w:ascii="Baskerville" w:hAnsi="Baskerville"/>
        </w:rPr>
        <w:t xml:space="preserve">The effort to shape credit in ways that </w:t>
      </w:r>
      <w:r w:rsidR="00B34C0C">
        <w:rPr>
          <w:rFonts w:ascii="Baskerville" w:hAnsi="Baskerville"/>
        </w:rPr>
        <w:t xml:space="preserve">helped promote mortgage availability and structure mortgage finance in a way to help </w:t>
      </w:r>
      <w:r w:rsidR="003130BB">
        <w:rPr>
          <w:rFonts w:ascii="Baskerville" w:hAnsi="Baskerville"/>
        </w:rPr>
        <w:t>homeowners</w:t>
      </w:r>
      <w:r w:rsidR="00B34C0C">
        <w:rPr>
          <w:rFonts w:ascii="Baskerville" w:hAnsi="Baskerville"/>
        </w:rPr>
        <w:t xml:space="preserve"> </w:t>
      </w:r>
      <w:r w:rsidR="00FB713C" w:rsidRPr="00F84BEF">
        <w:rPr>
          <w:rFonts w:ascii="Baskerville" w:hAnsi="Baskerville"/>
        </w:rPr>
        <w:t xml:space="preserve">was even more evident in the collateral policies </w:t>
      </w:r>
      <w:r w:rsidR="00125D1F" w:rsidRPr="00F84BEF">
        <w:rPr>
          <w:rFonts w:ascii="Baskerville" w:hAnsi="Baskerville"/>
        </w:rPr>
        <w:t>used</w:t>
      </w:r>
      <w:r w:rsidR="00FB713C" w:rsidRPr="00F84BEF">
        <w:rPr>
          <w:rFonts w:ascii="Baskerville" w:hAnsi="Baskerville"/>
        </w:rPr>
        <w:t xml:space="preserve"> at the time. B</w:t>
      </w:r>
      <w:r w:rsidRPr="00F84BEF">
        <w:rPr>
          <w:rFonts w:ascii="Baskerville" w:hAnsi="Baskerville"/>
        </w:rPr>
        <w:t>ack in 1932</w:t>
      </w:r>
      <w:r w:rsidR="00FB713C" w:rsidRPr="00F84BEF">
        <w:rPr>
          <w:rFonts w:ascii="Baskerville" w:hAnsi="Baskerville"/>
        </w:rPr>
        <w:t xml:space="preserve"> when the FH</w:t>
      </w:r>
      <w:r w:rsidR="00725E9D">
        <w:rPr>
          <w:rFonts w:ascii="Baskerville" w:hAnsi="Baskerville"/>
        </w:rPr>
        <w:t>L</w:t>
      </w:r>
      <w:r w:rsidR="00FB713C" w:rsidRPr="00F84BEF">
        <w:rPr>
          <w:rFonts w:ascii="Baskerville" w:hAnsi="Baskerville"/>
        </w:rPr>
        <w:t xml:space="preserve">Banks were founded, </w:t>
      </w:r>
      <w:r w:rsidRPr="00F84BEF">
        <w:rPr>
          <w:rFonts w:ascii="Baskerville" w:hAnsi="Baskerville"/>
        </w:rPr>
        <w:t>the typical home loan had a duration of roughly five years</w:t>
      </w:r>
      <w:r w:rsidR="003130BB">
        <w:rPr>
          <w:rFonts w:ascii="Baskerville" w:hAnsi="Baskerville"/>
        </w:rPr>
        <w:t>,</w:t>
      </w:r>
      <w:r w:rsidRPr="00F84BEF">
        <w:rPr>
          <w:rFonts w:ascii="Baskerville" w:hAnsi="Baskerville"/>
        </w:rPr>
        <w:t xml:space="preserve"> and it had a balloon structure pursuant to which borrowers often paid only interest during the life of the loan and had to repay the principal in full at the time the loan matured.</w:t>
      </w:r>
      <w:r w:rsidR="00FB713C" w:rsidRPr="00F84BEF">
        <w:rPr>
          <w:rStyle w:val="FootnoteReference"/>
        </w:rPr>
        <w:footnoteReference w:id="43"/>
      </w:r>
      <w:r w:rsidR="00FB713C" w:rsidRPr="00F84BEF">
        <w:rPr>
          <w:rFonts w:ascii="Baskerville" w:hAnsi="Baskerville"/>
        </w:rPr>
        <w:t xml:space="preserve"> </w:t>
      </w:r>
      <w:r w:rsidRPr="00F84BEF">
        <w:rPr>
          <w:rFonts w:ascii="Baskerville" w:hAnsi="Baskerville"/>
        </w:rPr>
        <w:t xml:space="preserve">When a borrower could not get a new loan to pay back the principal, foreclosure </w:t>
      </w:r>
      <w:r w:rsidR="00F10C3A" w:rsidRPr="00F84BEF">
        <w:rPr>
          <w:rFonts w:ascii="Baskerville" w:hAnsi="Baskerville"/>
        </w:rPr>
        <w:t>often resulted</w:t>
      </w:r>
      <w:r w:rsidRPr="00F84BEF">
        <w:rPr>
          <w:rFonts w:ascii="Baskerville" w:hAnsi="Baskerville"/>
        </w:rPr>
        <w:t xml:space="preserve">. Congress recognized that longer </w:t>
      </w:r>
      <w:r w:rsidR="00F10C3A" w:rsidRPr="00F84BEF">
        <w:rPr>
          <w:rFonts w:ascii="Baskerville" w:hAnsi="Baskerville"/>
        </w:rPr>
        <w:t>duration</w:t>
      </w:r>
      <w:r w:rsidRPr="00F84BEF">
        <w:rPr>
          <w:rFonts w:ascii="Baskerville" w:hAnsi="Baskerville"/>
        </w:rPr>
        <w:t xml:space="preserve"> loans and </w:t>
      </w:r>
      <w:r w:rsidR="00F10C3A" w:rsidRPr="00F84BEF">
        <w:rPr>
          <w:rFonts w:ascii="Baskerville" w:hAnsi="Baskerville"/>
        </w:rPr>
        <w:t>amortization</w:t>
      </w:r>
      <w:r w:rsidR="000A583B">
        <w:rPr>
          <w:rFonts w:ascii="Baskerville" w:hAnsi="Baskerville"/>
        </w:rPr>
        <w:t>—</w:t>
      </w:r>
      <w:r w:rsidR="00F10C3A" w:rsidRPr="00F84BEF">
        <w:rPr>
          <w:rFonts w:ascii="Baskerville" w:hAnsi="Baskerville"/>
        </w:rPr>
        <w:t>that is, a loan structure pursuant to which principal and interest are paid off over time</w:t>
      </w:r>
      <w:r w:rsidR="000A583B">
        <w:rPr>
          <w:rFonts w:ascii="Baskerville" w:hAnsi="Baskerville"/>
        </w:rPr>
        <w:t>—</w:t>
      </w:r>
      <w:r w:rsidRPr="00F84BEF">
        <w:rPr>
          <w:rFonts w:ascii="Baskerville" w:hAnsi="Baskerville"/>
        </w:rPr>
        <w:t xml:space="preserve">were more likely to </w:t>
      </w:r>
      <w:r w:rsidR="00894675" w:rsidRPr="00F84BEF">
        <w:rPr>
          <w:rFonts w:ascii="Baskerville" w:hAnsi="Baskerville"/>
        </w:rPr>
        <w:t>serve the needs of</w:t>
      </w:r>
      <w:r w:rsidRPr="00F84BEF">
        <w:rPr>
          <w:rFonts w:ascii="Baskerville" w:hAnsi="Baskerville"/>
        </w:rPr>
        <w:t xml:space="preserve"> </w:t>
      </w:r>
      <w:r w:rsidR="00F10C3A" w:rsidRPr="00F84BEF">
        <w:rPr>
          <w:rFonts w:ascii="Baskerville" w:hAnsi="Baskerville"/>
        </w:rPr>
        <w:t>the typical American family.</w:t>
      </w:r>
      <w:r w:rsidR="007E234F">
        <w:rPr>
          <w:rStyle w:val="FootnoteReference"/>
        </w:rPr>
        <w:footnoteReference w:id="44"/>
      </w:r>
      <w:r w:rsidR="00F10C3A" w:rsidRPr="00F84BEF">
        <w:rPr>
          <w:rFonts w:ascii="Baskerville" w:hAnsi="Baskerville"/>
        </w:rPr>
        <w:t xml:space="preserve"> </w:t>
      </w:r>
      <w:r w:rsidR="00DF03E4" w:rsidRPr="00F84BEF">
        <w:rPr>
          <w:rFonts w:ascii="Baskerville" w:hAnsi="Baskerville"/>
        </w:rPr>
        <w:t>FHLBanks’ co</w:t>
      </w:r>
      <w:r w:rsidR="00894675" w:rsidRPr="00F84BEF">
        <w:rPr>
          <w:rFonts w:ascii="Baskerville" w:hAnsi="Baskerville"/>
        </w:rPr>
        <w:t xml:space="preserve">llateral policy reflected this. </w:t>
      </w:r>
      <w:r w:rsidR="00F10C3A" w:rsidRPr="00F84BEF">
        <w:rPr>
          <w:rFonts w:ascii="Baskerville" w:hAnsi="Baskerville"/>
        </w:rPr>
        <w:t>Even though longer</w:t>
      </w:r>
      <w:r w:rsidR="00316C7E">
        <w:rPr>
          <w:rFonts w:ascii="Baskerville" w:hAnsi="Baskerville"/>
        </w:rPr>
        <w:t>-</w:t>
      </w:r>
      <w:r w:rsidR="00F10C3A" w:rsidRPr="00F84BEF">
        <w:rPr>
          <w:rFonts w:ascii="Baskerville" w:hAnsi="Baskerville"/>
        </w:rPr>
        <w:t xml:space="preserve">term loans generally entail more risk, the FHLBanks provided </w:t>
      </w:r>
      <w:r w:rsidR="00F10C3A" w:rsidRPr="00F84BEF">
        <w:rPr>
          <w:rFonts w:ascii="Baskerville" w:hAnsi="Baskerville"/>
          <w:i/>
          <w:iCs/>
        </w:rPr>
        <w:t>smaller</w:t>
      </w:r>
      <w:r w:rsidR="00F10C3A" w:rsidRPr="00F84BEF">
        <w:rPr>
          <w:rFonts w:ascii="Baskerville" w:hAnsi="Baskerville"/>
        </w:rPr>
        <w:t xml:space="preserve"> haircuts on home loans that were at least eight years and amortizing than on other home loans.</w:t>
      </w:r>
      <w:r w:rsidR="00A82AD8">
        <w:rPr>
          <w:rStyle w:val="FootnoteReference"/>
        </w:rPr>
        <w:footnoteReference w:id="45"/>
      </w:r>
      <w:r w:rsidR="00F10C3A" w:rsidRPr="00F84BEF">
        <w:rPr>
          <w:rFonts w:ascii="Baskerville" w:hAnsi="Baskerville"/>
        </w:rPr>
        <w:t xml:space="preserve"> Risk of default mattered, but whether the loan being used as collateral actually benefited the borrower mattered as well. </w:t>
      </w:r>
    </w:p>
    <w:p w14:paraId="05F01896" w14:textId="1B66DA56" w:rsidR="00322CFE" w:rsidRPr="00F84BEF" w:rsidRDefault="00DF03E4" w:rsidP="00F84BEF">
      <w:pPr>
        <w:spacing w:after="120"/>
        <w:ind w:firstLine="720"/>
        <w:rPr>
          <w:rFonts w:ascii="Baskerville" w:hAnsi="Baskerville"/>
        </w:rPr>
      </w:pPr>
      <w:r w:rsidRPr="00F84BEF">
        <w:rPr>
          <w:rFonts w:ascii="Baskerville" w:hAnsi="Baskerville"/>
        </w:rPr>
        <w:t xml:space="preserve">These types of concerns </w:t>
      </w:r>
      <w:r w:rsidR="0015591B" w:rsidRPr="00F84BEF">
        <w:rPr>
          <w:rFonts w:ascii="Baskerville" w:hAnsi="Baskerville"/>
        </w:rPr>
        <w:t xml:space="preserve">appear </w:t>
      </w:r>
      <w:r w:rsidRPr="00F84BEF">
        <w:rPr>
          <w:rFonts w:ascii="Baskerville" w:hAnsi="Baskerville"/>
        </w:rPr>
        <w:t>to be largely absent in how FHLBanks today set collateral policy. Reflecting just how far removed the advances business has become from the housing and community development missions of the FHLBanks, the haircuts seem to be determined based almost entirely on the credit risk an asset poses to the FHLBanks with little regard to whether the collateral in question is the type of asset that member institutions should be encouraged to create.</w:t>
      </w:r>
      <w:r w:rsidR="00273E95">
        <w:rPr>
          <w:rStyle w:val="FootnoteReference"/>
        </w:rPr>
        <w:footnoteReference w:id="46"/>
      </w:r>
    </w:p>
    <w:p w14:paraId="66EBEFA2" w14:textId="0AB3E9A9" w:rsidR="00D94A8C" w:rsidRPr="00F84BEF" w:rsidRDefault="00D94A8C" w:rsidP="00F84BEF">
      <w:pPr>
        <w:spacing w:after="120"/>
        <w:ind w:firstLine="720"/>
        <w:rPr>
          <w:rFonts w:ascii="Baskerville" w:hAnsi="Baskerville"/>
        </w:rPr>
      </w:pPr>
      <w:r w:rsidRPr="00F84BEF">
        <w:rPr>
          <w:rFonts w:ascii="Baskerville" w:hAnsi="Baskerville"/>
        </w:rPr>
        <w:t xml:space="preserve">In order to </w:t>
      </w:r>
      <w:r w:rsidR="0015591B" w:rsidRPr="00F84BEF">
        <w:rPr>
          <w:rFonts w:ascii="Baskerville" w:hAnsi="Baskerville"/>
        </w:rPr>
        <w:t>better tether FHLBanks</w:t>
      </w:r>
      <w:r w:rsidRPr="00F84BEF">
        <w:rPr>
          <w:rFonts w:ascii="Baskerville" w:hAnsi="Baskerville"/>
        </w:rPr>
        <w:t xml:space="preserve"> advances </w:t>
      </w:r>
      <w:r w:rsidR="0015591B" w:rsidRPr="00F84BEF">
        <w:rPr>
          <w:rFonts w:ascii="Baskerville" w:hAnsi="Baskerville"/>
        </w:rPr>
        <w:t>to the aims of</w:t>
      </w:r>
      <w:r w:rsidRPr="00F84BEF">
        <w:rPr>
          <w:rFonts w:ascii="Baskerville" w:hAnsi="Baskerville"/>
        </w:rPr>
        <w:t xml:space="preserve"> promot</w:t>
      </w:r>
      <w:r w:rsidR="0015591B" w:rsidRPr="00F84BEF">
        <w:rPr>
          <w:rFonts w:ascii="Baskerville" w:hAnsi="Baskerville"/>
        </w:rPr>
        <w:t>ing</w:t>
      </w:r>
      <w:r w:rsidRPr="00F84BEF">
        <w:rPr>
          <w:rFonts w:ascii="Baskerville" w:hAnsi="Baskerville"/>
        </w:rPr>
        <w:t xml:space="preserve"> housing finance and community development today, the FHLBanks should return to their approach of being </w:t>
      </w:r>
      <w:r w:rsidRPr="00F84BEF">
        <w:rPr>
          <w:rFonts w:ascii="Baskerville" w:hAnsi="Baskerville"/>
          <w:i/>
          <w:iCs/>
        </w:rPr>
        <w:t>less</w:t>
      </w:r>
      <w:r w:rsidRPr="00F84BEF">
        <w:rPr>
          <w:rFonts w:ascii="Baskerville" w:hAnsi="Baskerville"/>
        </w:rPr>
        <w:t xml:space="preserve"> risk averse when it comes to advances that are likely to promote housing and community development aims. This would mean imposing smaller, or at least not much bigger, haircuts on small business loans, agricultural loans</w:t>
      </w:r>
      <w:r w:rsidR="000A583B">
        <w:rPr>
          <w:rFonts w:ascii="Baskerville" w:hAnsi="Baskerville"/>
        </w:rPr>
        <w:t>,</w:t>
      </w:r>
      <w:r w:rsidRPr="00F84BEF">
        <w:rPr>
          <w:rFonts w:ascii="Baskerville" w:hAnsi="Baskerville"/>
        </w:rPr>
        <w:t xml:space="preserve"> and other types of community development collateral, even if that means assuming some credit risk.</w:t>
      </w:r>
      <w:r w:rsidR="00322CFE" w:rsidRPr="00F84BEF">
        <w:rPr>
          <w:rFonts w:ascii="Baskerville" w:hAnsi="Baskerville"/>
        </w:rPr>
        <w:t xml:space="preserve"> It may also mean moving away from the use of blanket loans, at least in some circumstances. And, when collateral represents particularly useful types of credit creation, it could entail specifically making the loan non-recourse to further encourage such lending. These are not issues that should be resolved in the CMA, but they are the types of possibilities that should be left open and encouraged by the CMA.</w:t>
      </w:r>
      <w:r w:rsidRPr="00F84BEF">
        <w:rPr>
          <w:rFonts w:ascii="Baskerville" w:hAnsi="Baskerville"/>
        </w:rPr>
        <w:t xml:space="preserve"> </w:t>
      </w:r>
      <w:r w:rsidR="0015591B" w:rsidRPr="00F84BEF">
        <w:rPr>
          <w:rFonts w:ascii="Baskerville" w:hAnsi="Baskerville"/>
        </w:rPr>
        <w:t>That the FHLBanks have not lost</w:t>
      </w:r>
      <w:r w:rsidRPr="00F84BEF">
        <w:rPr>
          <w:rFonts w:ascii="Baskerville" w:hAnsi="Baskerville"/>
        </w:rPr>
        <w:t xml:space="preserve"> any money on advances </w:t>
      </w:r>
      <w:r w:rsidR="0015591B" w:rsidRPr="00F84BEF">
        <w:rPr>
          <w:rFonts w:ascii="Baskerville" w:hAnsi="Baskerville"/>
        </w:rPr>
        <w:t xml:space="preserve">should not be a point of pride among </w:t>
      </w:r>
      <w:r w:rsidRPr="00F84BEF">
        <w:rPr>
          <w:rFonts w:ascii="Baskerville" w:hAnsi="Baskerville"/>
        </w:rPr>
        <w:t xml:space="preserve">FHLBanks; it is a sign of their </w:t>
      </w:r>
      <w:r w:rsidR="0015591B" w:rsidRPr="00F84BEF">
        <w:rPr>
          <w:rFonts w:ascii="Baskerville" w:hAnsi="Baskerville"/>
        </w:rPr>
        <w:t xml:space="preserve">tendency to prioritize profitability over </w:t>
      </w:r>
      <w:r w:rsidRPr="00F84BEF">
        <w:rPr>
          <w:rFonts w:ascii="Baskerville" w:hAnsi="Baskerville"/>
        </w:rPr>
        <w:t xml:space="preserve">the important role they could play in promoting healthy extensions of credit. </w:t>
      </w:r>
    </w:p>
    <w:p w14:paraId="0454FC16" w14:textId="39349A9C" w:rsidR="00D94A8C" w:rsidRDefault="0015591B" w:rsidP="00F84BEF">
      <w:pPr>
        <w:spacing w:after="120"/>
        <w:ind w:firstLine="720"/>
        <w:rPr>
          <w:rFonts w:ascii="Baskerville" w:hAnsi="Baskerville"/>
        </w:rPr>
      </w:pPr>
      <w:r w:rsidRPr="00F84BEF">
        <w:rPr>
          <w:rFonts w:ascii="Baskerville" w:hAnsi="Baskerville"/>
        </w:rPr>
        <w:t>Small business, agriculture</w:t>
      </w:r>
      <w:r w:rsidR="000A583B">
        <w:rPr>
          <w:rFonts w:ascii="Baskerville" w:hAnsi="Baskerville"/>
        </w:rPr>
        <w:t>,</w:t>
      </w:r>
      <w:r w:rsidRPr="00F84BEF">
        <w:rPr>
          <w:rFonts w:ascii="Baskerville" w:hAnsi="Baskerville"/>
        </w:rPr>
        <w:t xml:space="preserve"> and other forms of community development credit, just</w:t>
      </w:r>
      <w:r w:rsidR="00D94A8C" w:rsidRPr="00F84BEF">
        <w:rPr>
          <w:rFonts w:ascii="Baskerville" w:hAnsi="Baskerville"/>
        </w:rPr>
        <w:t xml:space="preserve"> like home loans back in 1932, involve meaningful risk and significant information asymmetries. They are costly loans for banks to make, even when they </w:t>
      </w:r>
      <w:r w:rsidR="00D06A71" w:rsidRPr="00F84BEF">
        <w:rPr>
          <w:rFonts w:ascii="Baskerville" w:hAnsi="Baskerville"/>
        </w:rPr>
        <w:t>provide meaningful benefits for the borrower, the economy</w:t>
      </w:r>
      <w:r w:rsidR="000A583B">
        <w:rPr>
          <w:rFonts w:ascii="Baskerville" w:hAnsi="Baskerville"/>
        </w:rPr>
        <w:t>,</w:t>
      </w:r>
      <w:r w:rsidR="00D06A71" w:rsidRPr="00F84BEF">
        <w:rPr>
          <w:rFonts w:ascii="Baskerville" w:hAnsi="Baskerville"/>
        </w:rPr>
        <w:t xml:space="preserve"> and society. The same is true today of many loans backing housing developments that are innovative and help to meet today’s affordability crisis but that do not fit neatly into any </w:t>
      </w:r>
      <w:r w:rsidR="00D06A71" w:rsidRPr="00F84BEF">
        <w:rPr>
          <w:rFonts w:ascii="Baskerville" w:hAnsi="Baskerville"/>
        </w:rPr>
        <w:lastRenderedPageBreak/>
        <w:t xml:space="preserve">of the categories established by the other GSEs. For the FHLBanks to make a positive social impact via their extension of advances, many of those advances should be facilitating the extension of credit where it might not otherwise reach. </w:t>
      </w:r>
      <w:r w:rsidRPr="00F84BEF">
        <w:rPr>
          <w:rFonts w:ascii="Baskerville" w:hAnsi="Baskerville"/>
        </w:rPr>
        <w:t xml:space="preserve">These forms of collateral should be favored and encouraged. </w:t>
      </w:r>
    </w:p>
    <w:p w14:paraId="6CA22E70" w14:textId="3317AF78" w:rsidR="00B34C0C" w:rsidRDefault="00B34C0C" w:rsidP="00F84BEF">
      <w:pPr>
        <w:spacing w:after="120"/>
        <w:ind w:firstLine="720"/>
        <w:rPr>
          <w:rFonts w:ascii="Baskerville" w:hAnsi="Baskerville"/>
        </w:rPr>
      </w:pPr>
      <w:r>
        <w:rPr>
          <w:rFonts w:ascii="Baskerville" w:hAnsi="Baskerville"/>
        </w:rPr>
        <w:t>Another area where FHLBanks could do more is to promote the 5-49 unit housing market. By dint of history, single family mortgages can support one to four units and have a robust secondary market heavily supported by the GSEs.</w:t>
      </w:r>
      <w:r w:rsidR="00995B8F">
        <w:rPr>
          <w:rStyle w:val="FootnoteReference"/>
        </w:rPr>
        <w:footnoteReference w:id="47"/>
      </w:r>
      <w:r>
        <w:rPr>
          <w:rFonts w:ascii="Baskerville" w:hAnsi="Baskerville"/>
        </w:rPr>
        <w:t xml:space="preserve"> Large multi-family buildings that have more than 50 housing units have a private market that allows for risk diversification and attracts significant investment </w:t>
      </w:r>
      <w:r w:rsidR="00D932C8">
        <w:rPr>
          <w:rFonts w:ascii="Baskerville" w:hAnsi="Baskerville"/>
        </w:rPr>
        <w:t>capital</w:t>
      </w:r>
      <w:r>
        <w:rPr>
          <w:rFonts w:ascii="Baskerville" w:hAnsi="Baskerville"/>
        </w:rPr>
        <w:t>.</w:t>
      </w:r>
      <w:r w:rsidR="00D932C8">
        <w:rPr>
          <w:rStyle w:val="FootnoteReference"/>
        </w:rPr>
        <w:footnoteReference w:id="48"/>
      </w:r>
      <w:r>
        <w:rPr>
          <w:rFonts w:ascii="Baskerville" w:hAnsi="Baskerville"/>
        </w:rPr>
        <w:t xml:space="preserve"> Stuck in the middle are projects that create between five and 49 units of housing. In this space second financing is difficult for a variety of reasons, including the fixed costs of project due diligence and risk syndication against the size of the project.</w:t>
      </w:r>
      <w:r w:rsidR="003423E0">
        <w:rPr>
          <w:rStyle w:val="FootnoteReference"/>
        </w:rPr>
        <w:footnoteReference w:id="49"/>
      </w:r>
      <w:r>
        <w:rPr>
          <w:rFonts w:ascii="Baskerville" w:hAnsi="Baskerville"/>
        </w:rPr>
        <w:t xml:space="preserve"> However, housing of exactly this size is often what is allowable by local zoning and desirable among small and large urban areas.</w:t>
      </w:r>
      <w:r w:rsidR="00B93857">
        <w:rPr>
          <w:rStyle w:val="FootnoteReference"/>
        </w:rPr>
        <w:footnoteReference w:id="50"/>
      </w:r>
      <w:r>
        <w:rPr>
          <w:rFonts w:ascii="Baskerville" w:hAnsi="Baskerville"/>
        </w:rPr>
        <w:t xml:space="preserve"> </w:t>
      </w:r>
    </w:p>
    <w:p w14:paraId="5921890F" w14:textId="2EB3557A" w:rsidR="00B34C0C" w:rsidRPr="00F84BEF" w:rsidRDefault="00B34C0C" w:rsidP="00F84BEF">
      <w:pPr>
        <w:spacing w:after="120"/>
        <w:ind w:firstLine="720"/>
        <w:rPr>
          <w:rFonts w:ascii="Baskerville" w:hAnsi="Baskerville"/>
        </w:rPr>
      </w:pPr>
      <w:r>
        <w:rPr>
          <w:rFonts w:ascii="Baskerville" w:hAnsi="Baskerville"/>
        </w:rPr>
        <w:t>The FHLB system is uniquely poised to take advantage of this. FHLBs ability to customize terms of credit and acceptance for collateral matches well with the unique size and terms of these projects. FHLB’s depth of membership among smaller financial institutions matches well the banks that engage in commercial real estate of projects of this size.</w:t>
      </w:r>
      <w:r w:rsidR="00B93857">
        <w:rPr>
          <w:rStyle w:val="FootnoteReference"/>
        </w:rPr>
        <w:footnoteReference w:id="51"/>
      </w:r>
      <w:r>
        <w:rPr>
          <w:rFonts w:ascii="Baskerville" w:hAnsi="Baskerville"/>
        </w:rPr>
        <w:t xml:space="preserve"> FHLBs prioritized position should financial institutions face trouble further insulates them from potential losses on these projects. The FHFA should consider how to incentivize FHLB work in the 5 to 49 unit space.</w:t>
      </w:r>
      <w:r w:rsidR="00DE118D">
        <w:rPr>
          <w:rFonts w:ascii="Baskerville" w:hAnsi="Baskerville"/>
        </w:rPr>
        <w:t xml:space="preserve"> This exemplifies the potential of the FHLBanks to play a meaningful, positive role in facilitat</w:t>
      </w:r>
      <w:r w:rsidR="000A583B">
        <w:rPr>
          <w:rFonts w:ascii="Baskerville" w:hAnsi="Baskerville"/>
        </w:rPr>
        <w:t>ing</w:t>
      </w:r>
      <w:r w:rsidR="00DE118D">
        <w:rPr>
          <w:rFonts w:ascii="Baskerville" w:hAnsi="Baskerville"/>
        </w:rPr>
        <w:t xml:space="preserve"> credit creation and real economic activity if its mission is revitalized in an appropriate way.</w:t>
      </w:r>
    </w:p>
    <w:p w14:paraId="4B57907D" w14:textId="77777777" w:rsidR="00322CFE" w:rsidRPr="00F84BEF" w:rsidRDefault="00322CFE" w:rsidP="00F84BEF">
      <w:pPr>
        <w:spacing w:after="120"/>
        <w:ind w:firstLine="720"/>
        <w:rPr>
          <w:rFonts w:ascii="Baskerville" w:hAnsi="Baskerville"/>
          <w:b/>
          <w:bCs/>
        </w:rPr>
      </w:pPr>
      <w:r w:rsidRPr="00F84BEF">
        <w:rPr>
          <w:rFonts w:ascii="Baskerville" w:hAnsi="Baskerville"/>
          <w:b/>
          <w:bCs/>
        </w:rPr>
        <w:t xml:space="preserve">Smaller Financial Institutions </w:t>
      </w:r>
    </w:p>
    <w:p w14:paraId="794EE399" w14:textId="3C3E3D7A" w:rsidR="0055316D" w:rsidRPr="00F84BEF" w:rsidRDefault="00D06A71" w:rsidP="00F84BEF">
      <w:pPr>
        <w:spacing w:after="120"/>
        <w:ind w:firstLine="720"/>
        <w:rPr>
          <w:rFonts w:ascii="Baskerville" w:hAnsi="Baskerville"/>
        </w:rPr>
      </w:pPr>
      <w:r w:rsidRPr="00F84BEF">
        <w:rPr>
          <w:rFonts w:ascii="Baskerville" w:hAnsi="Baskerville"/>
        </w:rPr>
        <w:t xml:space="preserve">Another lesson from the early decades of the FHLBank system that remains relevant is </w:t>
      </w:r>
      <w:r w:rsidR="00B34C0C">
        <w:rPr>
          <w:rFonts w:ascii="Baskerville" w:hAnsi="Baskerville"/>
        </w:rPr>
        <w:t>the ability to</w:t>
      </w:r>
      <w:r w:rsidR="00197113" w:rsidRPr="00F84BEF">
        <w:rPr>
          <w:rFonts w:ascii="Baskerville" w:hAnsi="Baskerville"/>
        </w:rPr>
        <w:t xml:space="preserve"> </w:t>
      </w:r>
      <w:r w:rsidR="008B5DCD" w:rsidRPr="00F84BEF">
        <w:rPr>
          <w:rFonts w:ascii="Baskerville" w:hAnsi="Baskerville"/>
        </w:rPr>
        <w:t>use advances to enhance</w:t>
      </w:r>
      <w:r w:rsidR="00197113" w:rsidRPr="00F84BEF">
        <w:rPr>
          <w:rFonts w:ascii="Baskerville" w:hAnsi="Baskerville"/>
        </w:rPr>
        <w:t xml:space="preserve"> the health and resilience of smaller financial institutions that do not have ready access to other sources of financing. In providing advances to savings &amp; loans, building associations</w:t>
      </w:r>
      <w:r w:rsidR="000A583B">
        <w:rPr>
          <w:rFonts w:ascii="Baskerville" w:hAnsi="Baskerville"/>
        </w:rPr>
        <w:t>,</w:t>
      </w:r>
      <w:r w:rsidR="00197113" w:rsidRPr="00F84BEF">
        <w:rPr>
          <w:rFonts w:ascii="Baskerville" w:hAnsi="Baskerville"/>
        </w:rPr>
        <w:t xml:space="preserve"> and other types of thrifts, the FHLBanks enhanced the resilience of institutions that otherwise faced significant challenges.</w:t>
      </w:r>
      <w:r w:rsidR="00197113" w:rsidRPr="00F84BEF">
        <w:rPr>
          <w:rStyle w:val="FootnoteReference"/>
        </w:rPr>
        <w:footnoteReference w:id="52"/>
      </w:r>
      <w:r w:rsidR="00197113" w:rsidRPr="00F84BEF">
        <w:rPr>
          <w:rFonts w:ascii="Baskerville" w:hAnsi="Baskerville"/>
        </w:rPr>
        <w:t xml:space="preserve"> Community oriented financial institutions, from thrifts in the first half of the 20</w:t>
      </w:r>
      <w:r w:rsidR="00197113" w:rsidRPr="00F84BEF">
        <w:rPr>
          <w:rFonts w:ascii="Baskerville" w:hAnsi="Baskerville"/>
          <w:vertAlign w:val="superscript"/>
        </w:rPr>
        <w:t>th</w:t>
      </w:r>
      <w:r w:rsidR="00197113" w:rsidRPr="00F84BEF">
        <w:rPr>
          <w:rFonts w:ascii="Baskerville" w:hAnsi="Baskerville"/>
        </w:rPr>
        <w:t xml:space="preserve"> century to minority depositary institutions, community development</w:t>
      </w:r>
      <w:r w:rsidRPr="00F84BEF">
        <w:rPr>
          <w:rFonts w:ascii="Baskerville" w:hAnsi="Baskerville"/>
        </w:rPr>
        <w:t xml:space="preserve"> financial </w:t>
      </w:r>
      <w:r w:rsidR="00197113" w:rsidRPr="00F84BEF">
        <w:rPr>
          <w:rFonts w:ascii="Baskerville" w:hAnsi="Baskerville"/>
        </w:rPr>
        <w:t>institutions</w:t>
      </w:r>
      <w:r w:rsidR="000A583B">
        <w:rPr>
          <w:rFonts w:ascii="Baskerville" w:hAnsi="Baskerville"/>
        </w:rPr>
        <w:t>,</w:t>
      </w:r>
      <w:r w:rsidRPr="00F84BEF">
        <w:rPr>
          <w:rFonts w:ascii="Baskerville" w:hAnsi="Baskerville"/>
        </w:rPr>
        <w:t xml:space="preserve"> </w:t>
      </w:r>
      <w:r w:rsidR="00197113" w:rsidRPr="00F84BEF">
        <w:rPr>
          <w:rFonts w:ascii="Baskerville" w:hAnsi="Baskerville"/>
        </w:rPr>
        <w:t xml:space="preserve">and </w:t>
      </w:r>
      <w:r w:rsidR="008B5DCD" w:rsidRPr="00F84BEF">
        <w:rPr>
          <w:rFonts w:ascii="Baskerville" w:hAnsi="Baskerville"/>
        </w:rPr>
        <w:t>other</w:t>
      </w:r>
      <w:r w:rsidR="00197113" w:rsidRPr="00F84BEF">
        <w:rPr>
          <w:rFonts w:ascii="Baskerville" w:hAnsi="Baskerville"/>
        </w:rPr>
        <w:t xml:space="preserve"> community banks today, </w:t>
      </w:r>
      <w:r w:rsidR="008B5DCD" w:rsidRPr="00F84BEF">
        <w:rPr>
          <w:rFonts w:ascii="Baskerville" w:hAnsi="Baskerville"/>
        </w:rPr>
        <w:t>often</w:t>
      </w:r>
      <w:r w:rsidR="00197113" w:rsidRPr="00F84BEF">
        <w:rPr>
          <w:rFonts w:ascii="Baskerville" w:hAnsi="Baskerville"/>
        </w:rPr>
        <w:t xml:space="preserve"> operate </w:t>
      </w:r>
      <w:r w:rsidR="00197113" w:rsidRPr="00F84BEF">
        <w:rPr>
          <w:rFonts w:ascii="Baskerville" w:hAnsi="Baskerville"/>
        </w:rPr>
        <w:lastRenderedPageBreak/>
        <w:t xml:space="preserve">differently than the largest banks. </w:t>
      </w:r>
      <w:r w:rsidR="008B5DCD" w:rsidRPr="00F84BEF">
        <w:rPr>
          <w:rFonts w:ascii="Baskerville" w:hAnsi="Baskerville"/>
        </w:rPr>
        <w:t>T</w:t>
      </w:r>
      <w:r w:rsidR="00197113" w:rsidRPr="00F84BEF">
        <w:rPr>
          <w:rFonts w:ascii="Baskerville" w:hAnsi="Baskerville"/>
        </w:rPr>
        <w:t xml:space="preserve">hey </w:t>
      </w:r>
      <w:r w:rsidR="00B34C0C">
        <w:rPr>
          <w:rFonts w:ascii="Baskerville" w:hAnsi="Baskerville"/>
        </w:rPr>
        <w:t xml:space="preserve">can rely more heavily on </w:t>
      </w:r>
      <w:r w:rsidR="00197113" w:rsidRPr="00F84BEF">
        <w:rPr>
          <w:rFonts w:ascii="Baskerville" w:hAnsi="Baskerville"/>
        </w:rPr>
        <w:t xml:space="preserve">relationships, not just databases, and </w:t>
      </w:r>
      <w:r w:rsidR="00B34C0C">
        <w:rPr>
          <w:rFonts w:ascii="Baskerville" w:hAnsi="Baskerville"/>
        </w:rPr>
        <w:t>have an important and different impact</w:t>
      </w:r>
      <w:r w:rsidR="00197113" w:rsidRPr="00F84BEF">
        <w:rPr>
          <w:rFonts w:ascii="Baskerville" w:hAnsi="Baskerville"/>
        </w:rPr>
        <w:t xml:space="preserve"> on the well-being of the larger community they serve. This is among the reasons that smaller banks continue to play an outsized role in domains such as small business lending.</w:t>
      </w:r>
      <w:r w:rsidR="0055316D" w:rsidRPr="00F84BEF">
        <w:rPr>
          <w:rStyle w:val="FootnoteReference"/>
        </w:rPr>
        <w:footnoteReference w:id="53"/>
      </w:r>
      <w:r w:rsidR="00197113" w:rsidRPr="00F84BEF">
        <w:rPr>
          <w:rFonts w:ascii="Baskerville" w:hAnsi="Baskerville"/>
        </w:rPr>
        <w:t xml:space="preserve"> </w:t>
      </w:r>
    </w:p>
    <w:p w14:paraId="627E5CC4" w14:textId="30E2FCB7" w:rsidR="008B5DCD" w:rsidRPr="00F84BEF" w:rsidRDefault="0055316D" w:rsidP="00F84BEF">
      <w:pPr>
        <w:spacing w:after="120"/>
        <w:ind w:firstLine="720"/>
        <w:rPr>
          <w:rFonts w:ascii="Baskerville" w:hAnsi="Baskerville"/>
        </w:rPr>
      </w:pPr>
      <w:r w:rsidRPr="00F84BEF">
        <w:rPr>
          <w:rFonts w:ascii="Baskerville" w:hAnsi="Baskerville"/>
        </w:rPr>
        <w:t xml:space="preserve">Historically, </w:t>
      </w:r>
      <w:r w:rsidR="0015591B" w:rsidRPr="00F84BEF">
        <w:rPr>
          <w:rFonts w:ascii="Baskerville" w:hAnsi="Baskerville"/>
        </w:rPr>
        <w:t xml:space="preserve">federal law and many state banking laws contributed to </w:t>
      </w:r>
      <w:r w:rsidR="008178A2" w:rsidRPr="00F84BEF">
        <w:rPr>
          <w:rFonts w:ascii="Baskerville" w:hAnsi="Baskerville"/>
        </w:rPr>
        <w:t>the</w:t>
      </w:r>
      <w:r w:rsidR="0015591B" w:rsidRPr="00F84BEF">
        <w:rPr>
          <w:rFonts w:ascii="Baskerville" w:hAnsi="Baskerville"/>
        </w:rPr>
        <w:t xml:space="preserve"> proliferation</w:t>
      </w:r>
      <w:r w:rsidR="008178A2" w:rsidRPr="00F84BEF">
        <w:rPr>
          <w:rFonts w:ascii="Baskerville" w:hAnsi="Baskerville"/>
        </w:rPr>
        <w:t xml:space="preserve"> and sustainability</w:t>
      </w:r>
      <w:r w:rsidR="0015591B" w:rsidRPr="00F84BEF">
        <w:rPr>
          <w:rFonts w:ascii="Baskerville" w:hAnsi="Baskerville"/>
        </w:rPr>
        <w:t xml:space="preserve"> of</w:t>
      </w:r>
      <w:r w:rsidRPr="00F84BEF">
        <w:rPr>
          <w:rFonts w:ascii="Baskerville" w:hAnsi="Baskerville"/>
        </w:rPr>
        <w:t xml:space="preserve"> smaller financial </w:t>
      </w:r>
      <w:r w:rsidR="00EC1BE5">
        <w:rPr>
          <w:rFonts w:ascii="Baskerville" w:hAnsi="Baskerville"/>
        </w:rPr>
        <w:t>institutions</w:t>
      </w:r>
      <w:r w:rsidR="008178A2" w:rsidRPr="00F84BEF">
        <w:rPr>
          <w:rFonts w:ascii="Baskerville" w:hAnsi="Baskerville"/>
        </w:rPr>
        <w:t>. This regime</w:t>
      </w:r>
      <w:r w:rsidRPr="00F84BEF">
        <w:rPr>
          <w:rFonts w:ascii="Baskerville" w:hAnsi="Baskerville"/>
        </w:rPr>
        <w:t xml:space="preserve"> </w:t>
      </w:r>
      <w:r w:rsidR="008178A2" w:rsidRPr="00F84BEF">
        <w:rPr>
          <w:rFonts w:ascii="Baskerville" w:hAnsi="Baskerville"/>
        </w:rPr>
        <w:t xml:space="preserve">was one of the key ways that banking sought to limit excessive concentrations of power and to </w:t>
      </w:r>
      <w:r w:rsidR="0015591B" w:rsidRPr="00F84BEF">
        <w:rPr>
          <w:rFonts w:ascii="Baskerville" w:hAnsi="Baskerville"/>
        </w:rPr>
        <w:t>promot</w:t>
      </w:r>
      <w:r w:rsidR="008178A2" w:rsidRPr="00F84BEF">
        <w:rPr>
          <w:rFonts w:ascii="Baskerville" w:hAnsi="Baskerville"/>
        </w:rPr>
        <w:t>e</w:t>
      </w:r>
      <w:r w:rsidR="0015591B" w:rsidRPr="00F84BEF">
        <w:rPr>
          <w:rFonts w:ascii="Baskerville" w:hAnsi="Baskerville"/>
        </w:rPr>
        <w:t xml:space="preserve"> broad flourishing</w:t>
      </w:r>
      <w:r w:rsidRPr="00F84BEF">
        <w:rPr>
          <w:rFonts w:ascii="Baskerville" w:hAnsi="Baskerville"/>
        </w:rPr>
        <w:t>.</w:t>
      </w:r>
      <w:r w:rsidRPr="00F84BEF">
        <w:rPr>
          <w:rStyle w:val="FootnoteReference"/>
        </w:rPr>
        <w:footnoteReference w:id="54"/>
      </w:r>
      <w:r w:rsidRPr="00F84BEF">
        <w:rPr>
          <w:rFonts w:ascii="Baskerville" w:hAnsi="Baskerville"/>
        </w:rPr>
        <w:t xml:space="preserve"> Since removing those restrictions, the number of community banks and other types of smaller financial institutions has declined precipitously despite the critical role they continue to play facilitating the flow of credit where it might not otherwise extend.</w:t>
      </w:r>
      <w:r w:rsidR="008178A2" w:rsidRPr="00F84BEF">
        <w:rPr>
          <w:rStyle w:val="FootnoteReference"/>
        </w:rPr>
        <w:footnoteReference w:id="55"/>
      </w:r>
    </w:p>
    <w:p w14:paraId="24B9B288" w14:textId="0F05D8B1" w:rsidR="008B5DCD" w:rsidRPr="00F84BEF" w:rsidRDefault="008B5DCD" w:rsidP="00F84BEF">
      <w:pPr>
        <w:spacing w:after="120"/>
        <w:ind w:firstLine="720"/>
        <w:rPr>
          <w:rFonts w:ascii="Baskerville" w:hAnsi="Baskerville"/>
        </w:rPr>
      </w:pPr>
      <w:r w:rsidRPr="00F84BEF">
        <w:rPr>
          <w:rFonts w:ascii="Baskerville" w:hAnsi="Baskerville"/>
        </w:rPr>
        <w:t>Smaller financial institutions have fewer outside funding options, so ready access to advances is more likely to have a positive and meaningful impact on their lending activity than it would for a large bank. Providing ready advances to small and possibly some mid-sized financial institutions may thus provide another rough but usable proxy for when advances are more likely to promote housing and community development aims.</w:t>
      </w:r>
      <w:r w:rsidR="00EC1BE5">
        <w:rPr>
          <w:rStyle w:val="FootnoteReference"/>
        </w:rPr>
        <w:footnoteReference w:id="56"/>
      </w:r>
    </w:p>
    <w:p w14:paraId="0302D165" w14:textId="6E56BA77" w:rsidR="002D4BE0" w:rsidRPr="00F84BEF" w:rsidRDefault="008B5DCD" w:rsidP="00F84BEF">
      <w:pPr>
        <w:spacing w:after="120"/>
        <w:ind w:firstLine="720"/>
        <w:rPr>
          <w:rFonts w:ascii="Baskerville" w:hAnsi="Baskerville"/>
        </w:rPr>
      </w:pPr>
      <w:r w:rsidRPr="00F84BEF">
        <w:rPr>
          <w:rFonts w:ascii="Baskerville" w:hAnsi="Baskerville"/>
        </w:rPr>
        <w:t xml:space="preserve">The nature of the financial institution member could also be considered in conjunction with the balance sheet and activities of a specific member to determine whether there is a broader set of financial institutions that should continue to enjoy relatively unrestricted access to advances. For example, regional banks that hold a sufficient proportion of assets that meaningfully support housing or community development commitments, for example, should perhaps be given more ready access to advances than a firm such as SVB that </w:t>
      </w:r>
      <w:r w:rsidR="00B34C0C">
        <w:rPr>
          <w:rFonts w:ascii="Baskerville" w:hAnsi="Baskerville"/>
        </w:rPr>
        <w:t>does not originate much mortgage lending</w:t>
      </w:r>
      <w:r w:rsidRPr="00F84BEF">
        <w:rPr>
          <w:rFonts w:ascii="Baskerville" w:hAnsi="Baskerville"/>
        </w:rPr>
        <w:t xml:space="preserve">. </w:t>
      </w:r>
      <w:r w:rsidR="0055316D" w:rsidRPr="00F84BEF">
        <w:rPr>
          <w:rFonts w:ascii="Baskerville" w:hAnsi="Baskerville"/>
        </w:rPr>
        <w:t xml:space="preserve"> </w:t>
      </w:r>
      <w:r w:rsidRPr="00F84BEF">
        <w:rPr>
          <w:rFonts w:ascii="Baskerville" w:hAnsi="Baskerville"/>
        </w:rPr>
        <w:t xml:space="preserve">The concern here is not the interest rate risk that brought SVB down but the fact that those investments did nothing to promote </w:t>
      </w:r>
      <w:r w:rsidR="00B34C0C">
        <w:rPr>
          <w:rFonts w:ascii="Baskerville" w:hAnsi="Baskerville"/>
        </w:rPr>
        <w:t>mortgage origination or home ownership</w:t>
      </w:r>
      <w:r w:rsidRPr="00F84BEF">
        <w:rPr>
          <w:rFonts w:ascii="Baskerville" w:hAnsi="Baskerville"/>
        </w:rPr>
        <w:t xml:space="preserve">. </w:t>
      </w:r>
    </w:p>
    <w:p w14:paraId="1E27B5D5" w14:textId="2A37839F" w:rsidR="00592312" w:rsidRPr="00F84BEF" w:rsidRDefault="00592312" w:rsidP="00F84BEF">
      <w:pPr>
        <w:spacing w:after="120"/>
        <w:ind w:firstLine="720"/>
        <w:rPr>
          <w:rFonts w:ascii="Baskerville" w:hAnsi="Baskerville"/>
        </w:rPr>
      </w:pPr>
      <w:r w:rsidRPr="00F84BEF">
        <w:rPr>
          <w:rFonts w:ascii="Baskerville" w:hAnsi="Baskerville"/>
        </w:rPr>
        <w:t>As the RFI recognizes, “the objective of supporting housing and community development … should be central to the FHLBanks’ day-to-day business with members and housing associates.”</w:t>
      </w:r>
      <w:r w:rsidRPr="00F84BEF">
        <w:rPr>
          <w:rStyle w:val="FootnoteReference"/>
        </w:rPr>
        <w:footnoteReference w:id="57"/>
      </w:r>
      <w:r w:rsidRPr="00F84BEF">
        <w:rPr>
          <w:rFonts w:ascii="Baskerville" w:hAnsi="Baskerville"/>
        </w:rPr>
        <w:t xml:space="preserve"> </w:t>
      </w:r>
      <w:r w:rsidRPr="008B5FBE">
        <w:rPr>
          <w:rFonts w:ascii="Baskerville" w:hAnsi="Baskerville"/>
        </w:rPr>
        <w:t>The structure of the banking system has undergone significant changes over the last half century in ways that have and will shape which households and firms have access to credit through good times and bad.</w:t>
      </w:r>
      <w:r w:rsidRPr="00F84BEF">
        <w:rPr>
          <w:rFonts w:ascii="Baskerville" w:hAnsi="Baskerville"/>
        </w:rPr>
        <w:t xml:space="preserve"> By helping to restore the original design of the FHLBank system, while mapping onto a very different financial system, the FHFA can promote</w:t>
      </w:r>
      <w:r w:rsidR="00B34C0C">
        <w:rPr>
          <w:rFonts w:ascii="Baskerville" w:hAnsi="Baskerville"/>
        </w:rPr>
        <w:t xml:space="preserve"> greater access to affordable housing for homebuyers and homebuilders</w:t>
      </w:r>
      <w:r w:rsidR="00DE118D">
        <w:rPr>
          <w:rFonts w:ascii="Baskerville" w:hAnsi="Baskerville"/>
        </w:rPr>
        <w:t xml:space="preserve"> and otherwise promote healthy credit </w:t>
      </w:r>
      <w:r w:rsidR="00DE118D">
        <w:rPr>
          <w:rFonts w:ascii="Baskerville" w:hAnsi="Baskerville"/>
        </w:rPr>
        <w:lastRenderedPageBreak/>
        <w:t>creation</w:t>
      </w:r>
      <w:r w:rsidR="00B34C0C">
        <w:rPr>
          <w:rFonts w:ascii="Baskerville" w:hAnsi="Baskerville"/>
        </w:rPr>
        <w:t>. FHFA can accomplish this while also reducing risks to the banking system, increasing financial stability, and reducing taxpayer exposure.</w:t>
      </w:r>
      <w:r w:rsidRPr="00F84BEF">
        <w:rPr>
          <w:rFonts w:ascii="Baskerville" w:hAnsi="Baskerville"/>
        </w:rPr>
        <w:t xml:space="preserve">  </w:t>
      </w:r>
    </w:p>
    <w:p w14:paraId="74777150" w14:textId="5452EC9E" w:rsidR="005D09B6" w:rsidRDefault="00FA64A5" w:rsidP="00F84BEF">
      <w:pPr>
        <w:spacing w:after="120"/>
        <w:ind w:firstLine="720"/>
        <w:rPr>
          <w:rFonts w:ascii="Baskerville" w:hAnsi="Baskerville"/>
        </w:rPr>
      </w:pPr>
      <w:r>
        <w:rPr>
          <w:rFonts w:ascii="Baskerville" w:hAnsi="Baskerville"/>
        </w:rPr>
        <w:t>Thank you again for raising these important questions and for providing us an opportunity to address them.</w:t>
      </w:r>
    </w:p>
    <w:p w14:paraId="64B2CEEC" w14:textId="5CDDC4FC" w:rsidR="00FA64A5" w:rsidRDefault="00FA64A5" w:rsidP="003C2AA4">
      <w:pPr>
        <w:rPr>
          <w:rFonts w:ascii="Baskerville" w:hAnsi="Baskerville"/>
        </w:rPr>
      </w:pPr>
      <w:r>
        <w:rPr>
          <w:rFonts w:ascii="Baskerville" w:hAnsi="Baskerville"/>
        </w:rPr>
        <w:t>Best regards,</w:t>
      </w:r>
    </w:p>
    <w:p w14:paraId="7BA1A43A" w14:textId="77777777" w:rsidR="00FA64A5" w:rsidRDefault="00FA64A5" w:rsidP="003C2AA4">
      <w:pPr>
        <w:rPr>
          <w:rFonts w:ascii="Baskerville" w:hAnsi="Baskerville"/>
        </w:rPr>
      </w:pPr>
    </w:p>
    <w:p w14:paraId="3DD5F117" w14:textId="4BB6B55A" w:rsidR="00FA64A5" w:rsidRDefault="00FA64A5" w:rsidP="003C2AA4">
      <w:pPr>
        <w:rPr>
          <w:rFonts w:ascii="Baskerville" w:hAnsi="Baskerville"/>
        </w:rPr>
      </w:pPr>
      <w:r>
        <w:rPr>
          <w:rFonts w:ascii="Baskerville" w:hAnsi="Baskerville"/>
        </w:rPr>
        <w:t>Aaron Klein</w:t>
      </w:r>
    </w:p>
    <w:p w14:paraId="68D3A88D" w14:textId="77777777" w:rsidR="00E44BF8" w:rsidRPr="00E44BF8" w:rsidRDefault="00E44BF8" w:rsidP="00E44BF8">
      <w:pPr>
        <w:rPr>
          <w:rFonts w:ascii="Baskerville" w:hAnsi="Baskerville"/>
        </w:rPr>
      </w:pPr>
      <w:r w:rsidRPr="00E44BF8">
        <w:rPr>
          <w:rFonts w:ascii="Baskerville" w:hAnsi="Baskerville"/>
        </w:rPr>
        <w:t>Miriam K. Carliner Chair – Economic Studies,</w:t>
      </w:r>
    </w:p>
    <w:p w14:paraId="5881F619" w14:textId="1AF605B0" w:rsidR="00E44BF8" w:rsidRDefault="00E44BF8" w:rsidP="00E44BF8">
      <w:pPr>
        <w:rPr>
          <w:rFonts w:ascii="Baskerville" w:hAnsi="Baskerville"/>
        </w:rPr>
      </w:pPr>
      <w:r w:rsidRPr="00E44BF8">
        <w:rPr>
          <w:rFonts w:ascii="Baskerville" w:hAnsi="Baskerville"/>
        </w:rPr>
        <w:t>Senior Fellow – Center on Regulation and Markets</w:t>
      </w:r>
    </w:p>
    <w:p w14:paraId="4610AD2B" w14:textId="2160E8CF" w:rsidR="00FA64A5" w:rsidRDefault="00E44BF8" w:rsidP="003C2AA4">
      <w:pPr>
        <w:rPr>
          <w:rFonts w:ascii="Baskerville" w:hAnsi="Baskerville"/>
        </w:rPr>
      </w:pPr>
      <w:r>
        <w:rPr>
          <w:rFonts w:ascii="Baskerville" w:hAnsi="Baskerville"/>
        </w:rPr>
        <w:t>The Brookings Institution</w:t>
      </w:r>
    </w:p>
    <w:p w14:paraId="22331B3B" w14:textId="77777777" w:rsidR="00E44BF8" w:rsidRDefault="00E44BF8" w:rsidP="003C2AA4">
      <w:pPr>
        <w:rPr>
          <w:rFonts w:ascii="Baskerville" w:hAnsi="Baskerville"/>
        </w:rPr>
      </w:pPr>
    </w:p>
    <w:p w14:paraId="1BE5987B" w14:textId="25016D39" w:rsidR="00FA64A5" w:rsidRDefault="00FA64A5" w:rsidP="003C2AA4">
      <w:pPr>
        <w:rPr>
          <w:rFonts w:ascii="Baskerville" w:hAnsi="Baskerville"/>
        </w:rPr>
      </w:pPr>
      <w:r>
        <w:rPr>
          <w:rFonts w:ascii="Baskerville" w:hAnsi="Baskerville"/>
        </w:rPr>
        <w:t>Kathryn Judge</w:t>
      </w:r>
    </w:p>
    <w:p w14:paraId="1325634F" w14:textId="77777777" w:rsidR="00FA64A5" w:rsidRPr="00FA64A5" w:rsidRDefault="00FA64A5" w:rsidP="003C2AA4">
      <w:pPr>
        <w:rPr>
          <w:rFonts w:ascii="Baskerville" w:hAnsi="Baskerville"/>
        </w:rPr>
      </w:pPr>
      <w:r w:rsidRPr="00FA64A5">
        <w:rPr>
          <w:rFonts w:ascii="Baskerville" w:hAnsi="Baskerville"/>
        </w:rPr>
        <w:t xml:space="preserve">Harvey J. Goldschmid Professor of Law </w:t>
      </w:r>
    </w:p>
    <w:p w14:paraId="01040DE2" w14:textId="1C5F9A81" w:rsidR="00FA64A5" w:rsidRPr="00F84BEF" w:rsidRDefault="00FA64A5" w:rsidP="003C2AA4">
      <w:pPr>
        <w:rPr>
          <w:rFonts w:ascii="Baskerville" w:hAnsi="Baskerville"/>
        </w:rPr>
      </w:pPr>
      <w:r w:rsidRPr="00FA64A5">
        <w:rPr>
          <w:rFonts w:ascii="Baskerville" w:hAnsi="Baskerville"/>
        </w:rPr>
        <w:t>Columbia Law School</w:t>
      </w:r>
    </w:p>
    <w:sectPr w:rsidR="00FA64A5" w:rsidRPr="00F84BEF" w:rsidSect="00284364">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6313" w14:textId="77777777" w:rsidR="006D5F8E" w:rsidRDefault="006D5F8E" w:rsidP="002D4BE0">
      <w:r>
        <w:separator/>
      </w:r>
    </w:p>
  </w:endnote>
  <w:endnote w:type="continuationSeparator" w:id="0">
    <w:p w14:paraId="63168A73" w14:textId="77777777" w:rsidR="006D5F8E" w:rsidRDefault="006D5F8E" w:rsidP="002D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496C" w14:textId="77777777" w:rsidR="006D5F8E" w:rsidRDefault="006D5F8E" w:rsidP="002D4BE0">
      <w:r>
        <w:separator/>
      </w:r>
    </w:p>
  </w:footnote>
  <w:footnote w:type="continuationSeparator" w:id="0">
    <w:p w14:paraId="1D400DB6" w14:textId="77777777" w:rsidR="006D5F8E" w:rsidRDefault="006D5F8E" w:rsidP="002D4BE0">
      <w:r>
        <w:continuationSeparator/>
      </w:r>
    </w:p>
  </w:footnote>
  <w:footnote w:id="1">
    <w:p w14:paraId="6C4DD572" w14:textId="7619508B" w:rsidR="002A46FC" w:rsidRPr="00284364" w:rsidRDefault="002A46FC">
      <w:pPr>
        <w:pStyle w:val="FootnoteText"/>
        <w:rPr>
          <w:lang w:val="en-CA"/>
        </w:rPr>
      </w:pPr>
      <w:r>
        <w:rPr>
          <w:rStyle w:val="FootnoteReference"/>
        </w:rPr>
        <w:footnoteRef/>
      </w:r>
      <w:r>
        <w:t xml:space="preserve"> </w:t>
      </w:r>
      <w:r w:rsidRPr="002A46FC">
        <w:t xml:space="preserve">The views expressed in this letter are </w:t>
      </w:r>
      <w:r w:rsidR="008D6448">
        <w:t>the authors’</w:t>
      </w:r>
      <w:r w:rsidR="008D6448" w:rsidRPr="002A46FC">
        <w:t xml:space="preserve"> </w:t>
      </w:r>
      <w:r w:rsidRPr="002A46FC">
        <w:t>own and do not necessarily reflect the views of the Brookings Institution or others affiliated with the Brookings Institution.</w:t>
      </w:r>
    </w:p>
  </w:footnote>
  <w:footnote w:id="2">
    <w:p w14:paraId="58CB5624" w14:textId="7825966F" w:rsidR="00FE1EE7" w:rsidRPr="004A28FB" w:rsidRDefault="00FE1EE7">
      <w:pPr>
        <w:pStyle w:val="FootnoteText"/>
        <w:rPr>
          <w:lang w:val="en-CA"/>
        </w:rPr>
      </w:pPr>
      <w:r>
        <w:rPr>
          <w:rStyle w:val="FootnoteReference"/>
        </w:rPr>
        <w:footnoteRef/>
      </w:r>
      <w:r>
        <w:t xml:space="preserve"> For a discussion of the way the current dividend policies reflect the wrong set of incentives, see </w:t>
      </w:r>
      <w:r w:rsidRPr="007B1A21">
        <w:t>Steven</w:t>
      </w:r>
      <w:r>
        <w:t xml:space="preserve"> Kelly</w:t>
      </w:r>
      <w:r w:rsidRPr="007B1A21">
        <w:t>, Susan McLaughlin, and Andrew Metrick</w:t>
      </w:r>
      <w:r>
        <w:t>,</w:t>
      </w:r>
      <w:r w:rsidRPr="007B1A21">
        <w:t xml:space="preserve"> “FHLB Dividends: Low-Hanging Fruit for Reconfiguring FHLB Lending</w:t>
      </w:r>
      <w:r>
        <w:t>,</w:t>
      </w:r>
      <w:r w:rsidRPr="007B1A21">
        <w:t xml:space="preserve">” </w:t>
      </w:r>
      <w:r w:rsidRPr="00CD7EBF">
        <w:rPr>
          <w:i/>
          <w:iCs/>
        </w:rPr>
        <w:t>Program on Financial Stability at the</w:t>
      </w:r>
      <w:r>
        <w:t xml:space="preserve"> </w:t>
      </w:r>
      <w:r w:rsidRPr="00CD7EBF">
        <w:rPr>
          <w:i/>
          <w:iCs/>
        </w:rPr>
        <w:t>Yale School of Management</w:t>
      </w:r>
      <w:r w:rsidRPr="007B1A21">
        <w:t>, January 18, 2024</w:t>
      </w:r>
      <w:r>
        <w:t>,</w:t>
      </w:r>
      <w:r w:rsidRPr="007B1A21">
        <w:t xml:space="preserve"> </w:t>
      </w:r>
      <w:hyperlink r:id="rId1" w:history="1">
        <w:r w:rsidRPr="00E36F50">
          <w:rPr>
            <w:rStyle w:val="Hyperlink"/>
          </w:rPr>
          <w:t>https://som.yale.edu/story/2024/fhlb-dividends-low-hanging-fruit-reconfiguring-fhlb-lending</w:t>
        </w:r>
      </w:hyperlink>
      <w:r>
        <w:t>.</w:t>
      </w:r>
    </w:p>
  </w:footnote>
  <w:footnote w:id="3">
    <w:p w14:paraId="2542FF1A" w14:textId="0A157C28" w:rsidR="002D4BE0" w:rsidRDefault="002D4BE0" w:rsidP="00CC3A07">
      <w:pPr>
        <w:pStyle w:val="FootnoteText"/>
      </w:pPr>
      <w:r>
        <w:rPr>
          <w:rStyle w:val="FootnoteReference"/>
        </w:rPr>
        <w:footnoteRef/>
      </w:r>
      <w:r>
        <w:t xml:space="preserve"> </w:t>
      </w:r>
      <w:r w:rsidRPr="00F5789B">
        <w:t>Fed</w:t>
      </w:r>
      <w:r w:rsidR="00FB20D0">
        <w:t>eral</w:t>
      </w:r>
      <w:r w:rsidRPr="00F5789B">
        <w:t xml:space="preserve"> Home Loan Bank of S</w:t>
      </w:r>
      <w:r w:rsidR="00FB20D0">
        <w:t xml:space="preserve">an </w:t>
      </w:r>
      <w:r w:rsidRPr="00F5789B">
        <w:t>F</w:t>
      </w:r>
      <w:r w:rsidR="00FB20D0">
        <w:t>rancisco</w:t>
      </w:r>
      <w:r w:rsidR="00587CAE">
        <w:t>,</w:t>
      </w:r>
      <w:r w:rsidRPr="00F5789B">
        <w:t xml:space="preserve"> </w:t>
      </w:r>
      <w:r w:rsidRPr="00CD7EBF">
        <w:rPr>
          <w:i/>
          <w:iCs/>
        </w:rPr>
        <w:t>Form 10-K</w:t>
      </w:r>
      <w:r w:rsidR="008A71F8" w:rsidRPr="00CD7EBF">
        <w:rPr>
          <w:i/>
          <w:iCs/>
        </w:rPr>
        <w:t xml:space="preserve"> for the Period Ending December 31, 2022</w:t>
      </w:r>
      <w:r w:rsidR="00657ECC">
        <w:t>,</w:t>
      </w:r>
      <w:r w:rsidRPr="00F5789B">
        <w:t xml:space="preserve"> </w:t>
      </w:r>
      <w:r w:rsidR="008A71F8">
        <w:t xml:space="preserve">filed </w:t>
      </w:r>
      <w:r w:rsidRPr="00F5789B">
        <w:t>Mar</w:t>
      </w:r>
      <w:r w:rsidR="00657ECC">
        <w:t>ch</w:t>
      </w:r>
      <w:r w:rsidRPr="00F5789B">
        <w:t xml:space="preserve"> 10, 2023</w:t>
      </w:r>
      <w:r w:rsidR="00236A33">
        <w:t>,</w:t>
      </w:r>
      <w:r w:rsidR="00FB20D0">
        <w:t xml:space="preserve"> </w:t>
      </w:r>
      <w:hyperlink r:id="rId2" w:history="1">
        <w:r w:rsidR="001247F3" w:rsidRPr="00D72F18">
          <w:rPr>
            <w:rStyle w:val="Hyperlink"/>
          </w:rPr>
          <w:t>https://www.sec.gov/ix?doc=/Archives/edgar/data/0001316944/000131694423000047/fhlbsf-20221231.htm</w:t>
        </w:r>
      </w:hyperlink>
      <w:r w:rsidR="001247F3">
        <w:t>.</w:t>
      </w:r>
    </w:p>
  </w:footnote>
  <w:footnote w:id="4">
    <w:p w14:paraId="164157A6" w14:textId="7548B78F" w:rsidR="002D4BE0" w:rsidRDefault="002D4BE0" w:rsidP="00CC3A07">
      <w:pPr>
        <w:pStyle w:val="FootnoteText"/>
      </w:pPr>
      <w:r>
        <w:rPr>
          <w:rStyle w:val="FootnoteReference"/>
        </w:rPr>
        <w:footnoteRef/>
      </w:r>
      <w:r>
        <w:t xml:space="preserve"> </w:t>
      </w:r>
      <w:r w:rsidR="005627B7" w:rsidRPr="00F5789B">
        <w:t>Fed</w:t>
      </w:r>
      <w:r w:rsidR="005627B7">
        <w:t>eral</w:t>
      </w:r>
      <w:r w:rsidR="005627B7" w:rsidRPr="00F5789B">
        <w:t xml:space="preserve"> Home Loan Bank of S</w:t>
      </w:r>
      <w:r w:rsidR="005627B7">
        <w:t xml:space="preserve">an </w:t>
      </w:r>
      <w:r w:rsidR="005627B7" w:rsidRPr="00F5789B">
        <w:t>F</w:t>
      </w:r>
      <w:r w:rsidR="005627B7">
        <w:t>rancisco,</w:t>
      </w:r>
      <w:r w:rsidR="005627B7" w:rsidRPr="00F5789B">
        <w:t xml:space="preserve"> </w:t>
      </w:r>
      <w:r w:rsidR="005627B7" w:rsidRPr="00801733">
        <w:rPr>
          <w:i/>
          <w:iCs/>
        </w:rPr>
        <w:t>Form 10-K for the Period Ending December 31, 2022</w:t>
      </w:r>
      <w:r w:rsidR="005627B7">
        <w:rPr>
          <w:i/>
          <w:iCs/>
        </w:rPr>
        <w:t>.</w:t>
      </w:r>
    </w:p>
  </w:footnote>
  <w:footnote w:id="5">
    <w:p w14:paraId="63CC2E8E" w14:textId="35B15333" w:rsidR="002D4BE0" w:rsidRDefault="002D4BE0" w:rsidP="00CC3A07">
      <w:pPr>
        <w:pStyle w:val="FootnoteText"/>
      </w:pPr>
      <w:r>
        <w:rPr>
          <w:rStyle w:val="FootnoteReference"/>
        </w:rPr>
        <w:footnoteRef/>
      </w:r>
      <w:r>
        <w:t xml:space="preserve"> </w:t>
      </w:r>
      <w:r w:rsidRPr="00CC3A07">
        <w:t>Kathryn</w:t>
      </w:r>
      <w:r w:rsidRPr="00ED3428">
        <w:t xml:space="preserve"> Judge, </w:t>
      </w:r>
      <w:r w:rsidR="00F7238A" w:rsidRPr="00470179">
        <w:t>“</w:t>
      </w:r>
      <w:r w:rsidRPr="00BE06D0">
        <w:t>Three Discount Windows</w:t>
      </w:r>
      <w:r w:rsidR="00470179" w:rsidRPr="00BE06D0">
        <w:t>,”</w:t>
      </w:r>
      <w:r w:rsidRPr="00ED3428">
        <w:t xml:space="preserve"> </w:t>
      </w:r>
      <w:r w:rsidRPr="00CD7EBF">
        <w:rPr>
          <w:i/>
          <w:iCs/>
        </w:rPr>
        <w:t>Cornell L</w:t>
      </w:r>
      <w:r w:rsidR="00470179" w:rsidRPr="00CD7EBF">
        <w:rPr>
          <w:i/>
          <w:iCs/>
        </w:rPr>
        <w:t>aw</w:t>
      </w:r>
      <w:r w:rsidRPr="00CD7EBF">
        <w:rPr>
          <w:i/>
          <w:iCs/>
        </w:rPr>
        <w:t xml:space="preserve"> Rev</w:t>
      </w:r>
      <w:r w:rsidR="00470179" w:rsidRPr="00CD7EBF">
        <w:rPr>
          <w:i/>
          <w:iCs/>
        </w:rPr>
        <w:t>iew</w:t>
      </w:r>
      <w:r w:rsidR="00470179">
        <w:t xml:space="preserve"> 99 </w:t>
      </w:r>
      <w:r w:rsidRPr="00ED3428">
        <w:t>(2014)</w:t>
      </w:r>
      <w:r w:rsidR="00470179">
        <w:t>: 795</w:t>
      </w:r>
      <w:r>
        <w:t xml:space="preserve">; </w:t>
      </w:r>
      <w:r w:rsidRPr="00ED3428">
        <w:t>Adam B. Ashcraft, Morten L. Bech</w:t>
      </w:r>
      <w:r w:rsidR="009E68CA">
        <w:t>,</w:t>
      </w:r>
      <w:r w:rsidRPr="00ED3428">
        <w:t xml:space="preserve"> </w:t>
      </w:r>
      <w:r w:rsidR="009E68CA">
        <w:t>and</w:t>
      </w:r>
      <w:r w:rsidRPr="00ED3428">
        <w:t xml:space="preserve"> W. Scott Frame, </w:t>
      </w:r>
      <w:r w:rsidR="00D071F8" w:rsidRPr="00D071F8">
        <w:t>“</w:t>
      </w:r>
      <w:r w:rsidRPr="00BE06D0">
        <w:t>The Federal Home Loan Bank System: The Lender of Next-to-Last Resort?</w:t>
      </w:r>
      <w:r w:rsidR="00ED61B5">
        <w:t>,</w:t>
      </w:r>
      <w:r w:rsidR="00D071F8" w:rsidRPr="00D071F8">
        <w:t>”</w:t>
      </w:r>
      <w:r w:rsidRPr="00ED3428">
        <w:t xml:space="preserve"> </w:t>
      </w:r>
      <w:r w:rsidRPr="00CD7EBF">
        <w:rPr>
          <w:i/>
          <w:iCs/>
        </w:rPr>
        <w:t>J</w:t>
      </w:r>
      <w:r w:rsidR="00FF6ED0" w:rsidRPr="00CD7EBF">
        <w:rPr>
          <w:i/>
          <w:iCs/>
        </w:rPr>
        <w:t>ourna</w:t>
      </w:r>
      <w:r w:rsidR="00CE6619" w:rsidRPr="00CD7EBF">
        <w:rPr>
          <w:i/>
          <w:iCs/>
        </w:rPr>
        <w:t>l</w:t>
      </w:r>
      <w:r w:rsidR="001D3559" w:rsidRPr="00CD7EBF">
        <w:rPr>
          <w:i/>
          <w:iCs/>
        </w:rPr>
        <w:t xml:space="preserve"> of</w:t>
      </w:r>
      <w:r w:rsidRPr="00CD7EBF">
        <w:rPr>
          <w:i/>
          <w:iCs/>
        </w:rPr>
        <w:t xml:space="preserve"> Money, Credit and Banking</w:t>
      </w:r>
      <w:r w:rsidRPr="00ED3428">
        <w:t xml:space="preserve"> </w:t>
      </w:r>
      <w:r w:rsidR="001D3559">
        <w:t xml:space="preserve">42 </w:t>
      </w:r>
      <w:r w:rsidRPr="00ED3428">
        <w:t>(2010)</w:t>
      </w:r>
      <w:r w:rsidR="001D3559">
        <w:t>: 551</w:t>
      </w:r>
      <w:r w:rsidR="00443F61">
        <w:t xml:space="preserve">; </w:t>
      </w:r>
      <w:r w:rsidR="00443F61" w:rsidRPr="00443F61">
        <w:t xml:space="preserve">Stephan G. Cecchetti et al., </w:t>
      </w:r>
      <w:r w:rsidR="003633A2">
        <w:t>“</w:t>
      </w:r>
      <w:r w:rsidR="00443F61" w:rsidRPr="00443F61">
        <w:t>The FHLB Role in the SVB and Related Debacles,</w:t>
      </w:r>
      <w:r w:rsidR="00382CEC">
        <w:t>”</w:t>
      </w:r>
      <w:r w:rsidR="00443F61" w:rsidRPr="00443F61">
        <w:t xml:space="preserve"> in </w:t>
      </w:r>
      <w:r w:rsidR="00443F61" w:rsidRPr="00CD7EBF">
        <w:rPr>
          <w:i/>
          <w:iCs/>
        </w:rPr>
        <w:t xml:space="preserve">SVB </w:t>
      </w:r>
      <w:r w:rsidR="00FF6ED0" w:rsidRPr="00CD7EBF">
        <w:rPr>
          <w:i/>
          <w:iCs/>
        </w:rPr>
        <w:t>and</w:t>
      </w:r>
      <w:r w:rsidR="00443F61" w:rsidRPr="00CD7EBF">
        <w:rPr>
          <w:i/>
          <w:iCs/>
        </w:rPr>
        <w:t xml:space="preserve"> B</w:t>
      </w:r>
      <w:r w:rsidR="00FF6ED0" w:rsidRPr="00CD7EBF">
        <w:rPr>
          <w:i/>
          <w:iCs/>
        </w:rPr>
        <w:t>eyond</w:t>
      </w:r>
      <w:r w:rsidR="00443F61" w:rsidRPr="00CD7EBF">
        <w:rPr>
          <w:i/>
          <w:iCs/>
        </w:rPr>
        <w:t>: T</w:t>
      </w:r>
      <w:r w:rsidR="00FF6ED0" w:rsidRPr="00CD7EBF">
        <w:rPr>
          <w:i/>
          <w:iCs/>
        </w:rPr>
        <w:t>he</w:t>
      </w:r>
      <w:r w:rsidR="00443F61" w:rsidRPr="00CD7EBF">
        <w:rPr>
          <w:i/>
          <w:iCs/>
        </w:rPr>
        <w:t xml:space="preserve"> </w:t>
      </w:r>
      <w:r w:rsidR="00FF6ED0" w:rsidRPr="00CD7EBF">
        <w:rPr>
          <w:i/>
          <w:iCs/>
        </w:rPr>
        <w:t>Banking</w:t>
      </w:r>
      <w:r w:rsidR="00443F61" w:rsidRPr="00CD7EBF">
        <w:rPr>
          <w:i/>
          <w:iCs/>
        </w:rPr>
        <w:t xml:space="preserve"> </w:t>
      </w:r>
      <w:r w:rsidR="00FF6ED0" w:rsidRPr="00CD7EBF">
        <w:rPr>
          <w:i/>
          <w:iCs/>
        </w:rPr>
        <w:t>Stress</w:t>
      </w:r>
      <w:r w:rsidR="00443F61" w:rsidRPr="00CD7EBF">
        <w:rPr>
          <w:i/>
          <w:iCs/>
        </w:rPr>
        <w:t xml:space="preserve"> </w:t>
      </w:r>
      <w:r w:rsidR="00FF6ED0" w:rsidRPr="00CD7EBF">
        <w:rPr>
          <w:i/>
          <w:iCs/>
        </w:rPr>
        <w:t>of</w:t>
      </w:r>
      <w:r w:rsidR="00443F61" w:rsidRPr="00CD7EBF">
        <w:rPr>
          <w:i/>
          <w:iCs/>
        </w:rPr>
        <w:t xml:space="preserve"> 2023</w:t>
      </w:r>
      <w:r w:rsidR="00443F61" w:rsidRPr="00443F61">
        <w:t xml:space="preserve">, </w:t>
      </w:r>
      <w:r w:rsidR="001035D6">
        <w:t xml:space="preserve">ed. </w:t>
      </w:r>
      <w:r w:rsidR="00443F61" w:rsidRPr="00443F61">
        <w:t xml:space="preserve">Viral V. Acharya et al. </w:t>
      </w:r>
      <w:r w:rsidR="001035D6">
        <w:t>(</w:t>
      </w:r>
      <w:r w:rsidR="00DC1C6C">
        <w:t>New York: NYU</w:t>
      </w:r>
      <w:r w:rsidR="001B4B2B">
        <w:t xml:space="preserve"> Stern Business School, </w:t>
      </w:r>
      <w:r w:rsidR="00443F61" w:rsidRPr="00443F61">
        <w:t>2023)</w:t>
      </w:r>
      <w:r w:rsidR="001035D6">
        <w:t xml:space="preserve">, 189, </w:t>
      </w:r>
      <w:hyperlink r:id="rId3" w:history="1">
        <w:r w:rsidR="001035D6" w:rsidRPr="001035D6">
          <w:rPr>
            <w:rStyle w:val="Hyperlink"/>
          </w:rPr>
          <w:t>https://drive.google.com/file/d/1M067WVIlogb0Jtrsl33ggpbHIAtVjlR6/view</w:t>
        </w:r>
      </w:hyperlink>
      <w:r w:rsidR="001167E7">
        <w:t>.</w:t>
      </w:r>
    </w:p>
  </w:footnote>
  <w:footnote w:id="6">
    <w:p w14:paraId="2B22E0B8" w14:textId="04A80B17" w:rsidR="002D4BE0" w:rsidRDefault="002D4BE0" w:rsidP="00CC3A07">
      <w:pPr>
        <w:pStyle w:val="FootnoteText"/>
      </w:pPr>
      <w:r>
        <w:rPr>
          <w:rStyle w:val="FootnoteReference"/>
        </w:rPr>
        <w:footnoteRef/>
      </w:r>
      <w:r>
        <w:t xml:space="preserve"> </w:t>
      </w:r>
      <w:r w:rsidRPr="00ED3428">
        <w:t xml:space="preserve">Lisa K. Ashley et al., </w:t>
      </w:r>
      <w:r w:rsidR="003633A2" w:rsidRPr="003633A2">
        <w:t>“</w:t>
      </w:r>
      <w:r w:rsidRPr="00BE06D0">
        <w:t>Access to FHLBank Advances and the Performance of Thrift Institutions</w:t>
      </w:r>
      <w:r w:rsidRPr="003633A2">
        <w:t>,</w:t>
      </w:r>
      <w:r w:rsidR="003633A2" w:rsidRPr="003633A2">
        <w:t>”</w:t>
      </w:r>
      <w:r w:rsidRPr="00ED3428">
        <w:t xml:space="preserve"> </w:t>
      </w:r>
      <w:r w:rsidRPr="00CD7EBF">
        <w:rPr>
          <w:i/>
          <w:iCs/>
        </w:rPr>
        <w:t>Fed</w:t>
      </w:r>
      <w:r w:rsidR="00AB586B" w:rsidRPr="00CD7EBF">
        <w:rPr>
          <w:i/>
          <w:iCs/>
        </w:rPr>
        <w:t>eral</w:t>
      </w:r>
      <w:r w:rsidRPr="00CD7EBF">
        <w:rPr>
          <w:i/>
          <w:iCs/>
        </w:rPr>
        <w:t xml:space="preserve"> R</w:t>
      </w:r>
      <w:r w:rsidR="00AB586B" w:rsidRPr="00CD7EBF">
        <w:rPr>
          <w:i/>
          <w:iCs/>
        </w:rPr>
        <w:t>e</w:t>
      </w:r>
      <w:r w:rsidRPr="00CD7EBF">
        <w:rPr>
          <w:i/>
          <w:iCs/>
        </w:rPr>
        <w:t>s</w:t>
      </w:r>
      <w:r w:rsidR="00AB586B" w:rsidRPr="00CD7EBF">
        <w:rPr>
          <w:i/>
          <w:iCs/>
        </w:rPr>
        <w:t>erve</w:t>
      </w:r>
      <w:r w:rsidRPr="00CD7EBF">
        <w:rPr>
          <w:i/>
          <w:iCs/>
        </w:rPr>
        <w:t xml:space="preserve"> Bank of Chi</w:t>
      </w:r>
      <w:r w:rsidR="00AB586B" w:rsidRPr="00CD7EBF">
        <w:rPr>
          <w:i/>
          <w:iCs/>
        </w:rPr>
        <w:t>cago</w:t>
      </w:r>
      <w:r w:rsidRPr="00CD7EBF">
        <w:rPr>
          <w:i/>
          <w:iCs/>
        </w:rPr>
        <w:t xml:space="preserve"> Econ</w:t>
      </w:r>
      <w:r w:rsidR="00AB586B" w:rsidRPr="00CD7EBF">
        <w:rPr>
          <w:i/>
          <w:iCs/>
        </w:rPr>
        <w:t>omic</w:t>
      </w:r>
      <w:r w:rsidRPr="00CD7EBF">
        <w:rPr>
          <w:i/>
          <w:iCs/>
        </w:rPr>
        <w:t xml:space="preserve"> Pers</w:t>
      </w:r>
      <w:r w:rsidR="00AB586B" w:rsidRPr="00CD7EBF">
        <w:rPr>
          <w:i/>
          <w:iCs/>
        </w:rPr>
        <w:t>pectives</w:t>
      </w:r>
      <w:r w:rsidRPr="00ED3428">
        <w:rPr>
          <w:smallCaps/>
        </w:rPr>
        <w:t xml:space="preserve"> </w:t>
      </w:r>
      <w:r w:rsidR="00AB586B">
        <w:rPr>
          <w:smallCaps/>
        </w:rPr>
        <w:t xml:space="preserve">22 (1998): </w:t>
      </w:r>
      <w:r w:rsidRPr="00ED3428">
        <w:rPr>
          <w:smallCaps/>
        </w:rPr>
        <w:t xml:space="preserve">33, 40, 41 </w:t>
      </w:r>
      <w:r w:rsidRPr="00ED3428">
        <w:t>tbl</w:t>
      </w:r>
      <w:r w:rsidRPr="00ED3428">
        <w:rPr>
          <w:smallCaps/>
        </w:rPr>
        <w:t>.</w:t>
      </w:r>
      <w:r w:rsidR="00E7741B">
        <w:rPr>
          <w:smallCaps/>
        </w:rPr>
        <w:t xml:space="preserve"> </w:t>
      </w:r>
      <w:r w:rsidRPr="00ED3428">
        <w:rPr>
          <w:smallCaps/>
        </w:rPr>
        <w:t>6</w:t>
      </w:r>
      <w:r w:rsidRPr="00ED3428">
        <w:t>.</w:t>
      </w:r>
    </w:p>
  </w:footnote>
  <w:footnote w:id="7">
    <w:p w14:paraId="7413B23B" w14:textId="07D8B6FE" w:rsidR="0050328F" w:rsidRDefault="0050328F" w:rsidP="00CC3A07">
      <w:pPr>
        <w:pStyle w:val="FootnoteText"/>
      </w:pPr>
      <w:r>
        <w:rPr>
          <w:rStyle w:val="FootnoteReference"/>
        </w:rPr>
        <w:footnoteRef/>
      </w:r>
      <w:r>
        <w:t xml:space="preserve"> </w:t>
      </w:r>
      <w:r w:rsidRPr="00442059">
        <w:t xml:space="preserve">Herbert Hoover, </w:t>
      </w:r>
      <w:r w:rsidR="00EB006B">
        <w:t>“</w:t>
      </w:r>
      <w:r w:rsidRPr="00442059">
        <w:t>Statement Announcing the White House Conference on Home Building and Home Ownership</w:t>
      </w:r>
      <w:r w:rsidR="00EB006B">
        <w:t>,”</w:t>
      </w:r>
      <w:r w:rsidRPr="00442059">
        <w:t xml:space="preserve"> (</w:t>
      </w:r>
      <w:r w:rsidR="00C117DA">
        <w:t xml:space="preserve">speech, </w:t>
      </w:r>
      <w:r w:rsidR="009F5B03">
        <w:t>o</w:t>
      </w:r>
      <w:r w:rsidR="00C117DA">
        <w:t xml:space="preserve">nline by </w:t>
      </w:r>
      <w:r w:rsidR="00C117DA" w:rsidRPr="00C117DA">
        <w:t>Gerhard Peters and John T. Woolley</w:t>
      </w:r>
      <w:r w:rsidR="00C117DA">
        <w:t xml:space="preserve">, </w:t>
      </w:r>
      <w:r w:rsidR="00531AC2">
        <w:t xml:space="preserve">The American Presidency Project, </w:t>
      </w:r>
      <w:r w:rsidRPr="00442059">
        <w:t>Sept</w:t>
      </w:r>
      <w:r w:rsidR="008F52FF">
        <w:t>ember</w:t>
      </w:r>
      <w:r w:rsidRPr="00442059">
        <w:t xml:space="preserve"> 15, 1931), </w:t>
      </w:r>
      <w:hyperlink r:id="rId4" w:history="1">
        <w:r w:rsidR="00E33A93" w:rsidRPr="00D72F18">
          <w:rPr>
            <w:rStyle w:val="Hyperlink"/>
          </w:rPr>
          <w:t>https://www.presidency.ucsb.edu/node/207591</w:t>
        </w:r>
      </w:hyperlink>
      <w:r w:rsidR="00E33A93">
        <w:t xml:space="preserve">. </w:t>
      </w:r>
    </w:p>
  </w:footnote>
  <w:footnote w:id="8">
    <w:p w14:paraId="7A821136" w14:textId="68DC6EB9" w:rsidR="00032120" w:rsidRPr="00CD7EBF" w:rsidRDefault="00032120">
      <w:pPr>
        <w:pStyle w:val="FootnoteText"/>
        <w:rPr>
          <w:lang w:val="en-CA"/>
        </w:rPr>
      </w:pPr>
      <w:r>
        <w:rPr>
          <w:rStyle w:val="FootnoteReference"/>
        </w:rPr>
        <w:footnoteRef/>
      </w:r>
      <w:r>
        <w:t xml:space="preserve"> </w:t>
      </w:r>
      <w:r w:rsidR="00FE2341" w:rsidRPr="00FE2341">
        <w:t xml:space="preserve">David Torregrosa, Remy Mitchell, and Sebastien Gay, </w:t>
      </w:r>
      <w:r w:rsidR="00FE2341" w:rsidRPr="00CD7EBF">
        <w:rPr>
          <w:i/>
          <w:iCs/>
        </w:rPr>
        <w:t>The Role of Federal Home Loan Banks in the Financial System</w:t>
      </w:r>
      <w:r w:rsidR="00FE2341" w:rsidRPr="00FE2341">
        <w:t xml:space="preserve"> (</w:t>
      </w:r>
      <w:r w:rsidR="00E972A0">
        <w:t>Washington D</w:t>
      </w:r>
      <w:r w:rsidR="00B23B99">
        <w:t>.</w:t>
      </w:r>
      <w:r w:rsidR="00E972A0">
        <w:t>C</w:t>
      </w:r>
      <w:r w:rsidR="00B23B99">
        <w:t>.</w:t>
      </w:r>
      <w:r w:rsidR="00E972A0">
        <w:t xml:space="preserve">, </w:t>
      </w:r>
      <w:r w:rsidR="00FE2341" w:rsidRPr="00FE2341">
        <w:t xml:space="preserve">Congressional Budget Office, March 2024), </w:t>
      </w:r>
      <w:hyperlink r:id="rId5" w:history="1">
        <w:r w:rsidR="00FE2341" w:rsidRPr="00B70753">
          <w:rPr>
            <w:rStyle w:val="Hyperlink"/>
          </w:rPr>
          <w:t>https://www.cbo.gov/publication/60064</w:t>
        </w:r>
      </w:hyperlink>
      <w:r w:rsidR="00FE2341" w:rsidRPr="00FE2341">
        <w:t>.</w:t>
      </w:r>
      <w:r w:rsidR="00FE2341">
        <w:t xml:space="preserve"> </w:t>
      </w:r>
    </w:p>
  </w:footnote>
  <w:footnote w:id="9">
    <w:p w14:paraId="4E4447B9" w14:textId="1967AE63" w:rsidR="000F4E5A" w:rsidRPr="00CD7EBF" w:rsidRDefault="000F4E5A">
      <w:pPr>
        <w:pStyle w:val="FootnoteText"/>
        <w:rPr>
          <w:lang w:val="en-CA"/>
        </w:rPr>
      </w:pPr>
      <w:r>
        <w:rPr>
          <w:rStyle w:val="FootnoteReference"/>
        </w:rPr>
        <w:footnoteRef/>
      </w:r>
      <w:r>
        <w:t xml:space="preserve"> </w:t>
      </w:r>
      <w:r>
        <w:rPr>
          <w:lang w:val="en-CA"/>
        </w:rPr>
        <w:t xml:space="preserve">Clay J. Anderson, </w:t>
      </w:r>
      <w:r w:rsidRPr="00CD7EBF">
        <w:rPr>
          <w:i/>
          <w:iCs/>
          <w:lang w:val="en-CA"/>
        </w:rPr>
        <w:t>Evolution of the Role and Functioning of the Discount Mechanism</w:t>
      </w:r>
      <w:r w:rsidR="0054463B">
        <w:rPr>
          <w:lang w:val="en-CA"/>
        </w:rPr>
        <w:t xml:space="preserve"> (</w:t>
      </w:r>
      <w:r w:rsidR="000F4629">
        <w:rPr>
          <w:lang w:val="en-CA"/>
        </w:rPr>
        <w:t xml:space="preserve">Philadelphia: </w:t>
      </w:r>
      <w:r w:rsidR="0054463B">
        <w:rPr>
          <w:lang w:val="en-CA"/>
        </w:rPr>
        <w:t>Federal Reserve Bank of Philadelphia, November 1966)</w:t>
      </w:r>
      <w:r w:rsidR="00CB6112">
        <w:rPr>
          <w:lang w:val="en-CA"/>
        </w:rPr>
        <w:t>:</w:t>
      </w:r>
      <w:r w:rsidR="0054463B">
        <w:rPr>
          <w:lang w:val="en-CA"/>
        </w:rPr>
        <w:t xml:space="preserve"> </w:t>
      </w:r>
      <w:r w:rsidR="003343CF">
        <w:rPr>
          <w:lang w:val="en-CA"/>
        </w:rPr>
        <w:t xml:space="preserve">22, </w:t>
      </w:r>
      <w:hyperlink r:id="rId6" w:history="1">
        <w:r w:rsidR="003343CF" w:rsidRPr="003343CF">
          <w:rPr>
            <w:rStyle w:val="Hyperlink"/>
            <w:lang w:val="en-CA"/>
          </w:rPr>
          <w:t>https://fraser.stlouisfed.org/files/docs/historical/federal%20reserve%20history/discountmech/evolrole_ander.pdf</w:t>
        </w:r>
      </w:hyperlink>
      <w:r w:rsidR="00FF4A4B">
        <w:rPr>
          <w:lang w:val="en-CA"/>
        </w:rPr>
        <w:t xml:space="preserve">. </w:t>
      </w:r>
      <w:r w:rsidR="0054463B">
        <w:rPr>
          <w:lang w:val="en-CA"/>
        </w:rPr>
        <w:t xml:space="preserve"> </w:t>
      </w:r>
      <w:r>
        <w:rPr>
          <w:lang w:val="en-CA"/>
        </w:rPr>
        <w:t xml:space="preserve"> </w:t>
      </w:r>
    </w:p>
  </w:footnote>
  <w:footnote w:id="10">
    <w:p w14:paraId="360E9ED0" w14:textId="72372483" w:rsidR="00956785" w:rsidRPr="00406992" w:rsidRDefault="00956785">
      <w:pPr>
        <w:pStyle w:val="FootnoteText"/>
        <w:rPr>
          <w:lang w:val="en-CA"/>
        </w:rPr>
      </w:pPr>
      <w:r>
        <w:rPr>
          <w:rStyle w:val="FootnoteReference"/>
        </w:rPr>
        <w:footnoteRef/>
      </w:r>
      <w:r>
        <w:t xml:space="preserve"> </w:t>
      </w:r>
      <w:r w:rsidR="00A124DF" w:rsidRPr="00A124DF">
        <w:t>Depository Institutions Deregulation and Monetary Control Act of 1980, Pub. L. No. 96-221, 94 Stat. 132 (codified as amended in scattered sections of 12 U.S.C.).</w:t>
      </w:r>
    </w:p>
  </w:footnote>
  <w:footnote w:id="11">
    <w:p w14:paraId="32A974E6" w14:textId="0B6EF636" w:rsidR="002D4BE0" w:rsidRDefault="002D4BE0" w:rsidP="00CC3A07">
      <w:pPr>
        <w:pStyle w:val="FootnoteText"/>
      </w:pPr>
      <w:r>
        <w:rPr>
          <w:rStyle w:val="FootnoteReference"/>
        </w:rPr>
        <w:footnoteRef/>
      </w:r>
      <w:r>
        <w:t xml:space="preserve"> </w:t>
      </w:r>
      <w:r w:rsidR="00F34FA7" w:rsidRPr="00F34FA7">
        <w:t>Chie Hogenmiller</w:t>
      </w:r>
      <w:r w:rsidR="00F34FA7">
        <w:t xml:space="preserve"> et al., </w:t>
      </w:r>
      <w:r w:rsidR="00D45F2B" w:rsidRPr="00CD7EBF">
        <w:rPr>
          <w:i/>
          <w:iCs/>
        </w:rPr>
        <w:t xml:space="preserve">Material Loss Review of Silicon Valley Bank </w:t>
      </w:r>
      <w:r w:rsidR="00F34FA7">
        <w:t>(</w:t>
      </w:r>
      <w:r w:rsidR="00F34FA7" w:rsidRPr="00F34FA7">
        <w:t>Office of Inspector General for the Board of Governors of the Federal Reserve System and the Consumer Financial Protection Bureau</w:t>
      </w:r>
      <w:r w:rsidR="00F34FA7">
        <w:t xml:space="preserve">, </w:t>
      </w:r>
      <w:r w:rsidR="00F34FA7" w:rsidRPr="00D45F2B">
        <w:t>September 25, 2023</w:t>
      </w:r>
      <w:r w:rsidR="00F34FA7">
        <w:t>)</w:t>
      </w:r>
      <w:r w:rsidR="00457D2D">
        <w:t>,</w:t>
      </w:r>
      <w:r w:rsidR="00D45F2B" w:rsidRPr="00D45F2B">
        <w:t xml:space="preserve"> </w:t>
      </w:r>
      <w:hyperlink r:id="rId7" w:history="1">
        <w:r w:rsidR="00D45F2B" w:rsidRPr="00D72F18">
          <w:rPr>
            <w:rStyle w:val="Hyperlink"/>
          </w:rPr>
          <w:t>https://oig.federalreserve.gov/reports/board-material-loss-review-silicon-valley-bank-sep2023.htm</w:t>
        </w:r>
      </w:hyperlink>
      <w:r w:rsidR="00D45F2B" w:rsidRPr="00D45F2B">
        <w:t>.</w:t>
      </w:r>
    </w:p>
  </w:footnote>
  <w:footnote w:id="12">
    <w:p w14:paraId="29F671F3" w14:textId="081264B3" w:rsidR="00643C90" w:rsidRDefault="00643C90" w:rsidP="00CC3A07">
      <w:pPr>
        <w:pStyle w:val="FootnoteText"/>
      </w:pPr>
      <w:r>
        <w:rPr>
          <w:rStyle w:val="FootnoteReference"/>
        </w:rPr>
        <w:footnoteRef/>
      </w:r>
      <w:r>
        <w:t xml:space="preserve"> </w:t>
      </w:r>
      <w:r w:rsidR="00850385" w:rsidRPr="00850385">
        <w:t>Noah</w:t>
      </w:r>
      <w:r w:rsidR="00457D2D">
        <w:t xml:space="preserve"> Buhayar,</w:t>
      </w:r>
      <w:r w:rsidR="00850385" w:rsidRPr="00850385">
        <w:t xml:space="preserve"> “After SVB’s Failure, Its Attempted Rescuer Charged $285 Million in Fees</w:t>
      </w:r>
      <w:r w:rsidR="00595BD3">
        <w:t>,</w:t>
      </w:r>
      <w:r w:rsidR="00850385" w:rsidRPr="00850385">
        <w:t xml:space="preserve">” </w:t>
      </w:r>
      <w:r w:rsidR="00850385" w:rsidRPr="00CD7EBF">
        <w:rPr>
          <w:i/>
          <w:iCs/>
        </w:rPr>
        <w:t>Bloomberg.</w:t>
      </w:r>
      <w:r w:rsidR="001A6517" w:rsidRPr="00CD7EBF">
        <w:rPr>
          <w:i/>
          <w:iCs/>
        </w:rPr>
        <w:t>c</w:t>
      </w:r>
      <w:r w:rsidR="00850385" w:rsidRPr="00CD7EBF">
        <w:rPr>
          <w:i/>
          <w:iCs/>
        </w:rPr>
        <w:t>om</w:t>
      </w:r>
      <w:r w:rsidR="00850385" w:rsidRPr="00850385">
        <w:t>, March 12, 2024</w:t>
      </w:r>
      <w:r w:rsidR="002F41C9">
        <w:t>,</w:t>
      </w:r>
      <w:r w:rsidR="00850385" w:rsidRPr="00850385">
        <w:t xml:space="preserve"> </w:t>
      </w:r>
      <w:hyperlink r:id="rId8" w:history="1">
        <w:r w:rsidR="00850385" w:rsidRPr="00D72F18">
          <w:rPr>
            <w:rStyle w:val="Hyperlink"/>
          </w:rPr>
          <w:t>https://www.bloomberg.com/news/articles/2024-03-12/after-svb-failed-fhlb-charged-285-million-in-fees-to-wind-down-financing</w:t>
        </w:r>
      </w:hyperlink>
      <w:r w:rsidR="00850385" w:rsidRPr="00850385">
        <w:t>.</w:t>
      </w:r>
    </w:p>
  </w:footnote>
  <w:footnote w:id="13">
    <w:p w14:paraId="6E7E3B4F" w14:textId="5B1D6A1F" w:rsidR="00831A0B" w:rsidRDefault="00831A0B" w:rsidP="00CC3A07">
      <w:pPr>
        <w:pStyle w:val="FootnoteText"/>
      </w:pPr>
      <w:r>
        <w:rPr>
          <w:rStyle w:val="FootnoteReference"/>
        </w:rPr>
        <w:footnoteRef/>
      </w:r>
      <w:r>
        <w:t xml:space="preserve"> </w:t>
      </w:r>
      <w:r w:rsidR="002F41C9" w:rsidRPr="002F41C9">
        <w:t>Noah Buhayar, “After SVB’s Failure, Its Attempted Rescuer Charged $285 Million in Fees</w:t>
      </w:r>
      <w:r w:rsidR="002F41C9">
        <w:t>.</w:t>
      </w:r>
      <w:r w:rsidR="002F41C9" w:rsidRPr="002F41C9">
        <w:t>”</w:t>
      </w:r>
    </w:p>
  </w:footnote>
  <w:footnote w:id="14">
    <w:p w14:paraId="4E661AE3" w14:textId="543638F9" w:rsidR="00D46267" w:rsidRPr="00CD7EBF" w:rsidRDefault="00D46267">
      <w:pPr>
        <w:pStyle w:val="FootnoteText"/>
        <w:rPr>
          <w:lang w:val="en-CA"/>
        </w:rPr>
      </w:pPr>
      <w:r>
        <w:rPr>
          <w:rStyle w:val="FootnoteReference"/>
        </w:rPr>
        <w:footnoteRef/>
      </w:r>
      <w:r>
        <w:t xml:space="preserve"> </w:t>
      </w:r>
      <w:r w:rsidR="00E972A0" w:rsidRPr="00FE2341">
        <w:t xml:space="preserve">David Torregrosa, Remy Mitchell, and Sebastien Gay, </w:t>
      </w:r>
      <w:r w:rsidR="00E972A0" w:rsidRPr="00801733">
        <w:rPr>
          <w:i/>
          <w:iCs/>
        </w:rPr>
        <w:t>The Role of Federal Home Loan Banks in the Financial System</w:t>
      </w:r>
      <w:r w:rsidR="00E972A0">
        <w:t xml:space="preserve">. </w:t>
      </w:r>
    </w:p>
  </w:footnote>
  <w:footnote w:id="15">
    <w:p w14:paraId="7BB64333" w14:textId="485B2ED5" w:rsidR="002D4BE0" w:rsidRDefault="002D4BE0" w:rsidP="00CC3A07">
      <w:pPr>
        <w:pStyle w:val="FootnoteText"/>
      </w:pPr>
      <w:r>
        <w:rPr>
          <w:rStyle w:val="FootnoteReference"/>
        </w:rPr>
        <w:footnoteRef/>
      </w:r>
      <w:r>
        <w:t xml:space="preserve"> This is the year that British public intellectual Walter Bagehot published his book, </w:t>
      </w:r>
      <w:r w:rsidRPr="007B0168">
        <w:t>Lombard Street: A Description of the Money Market</w:t>
      </w:r>
      <w:r>
        <w:t xml:space="preserve">, explaining why the Bank of England should be willing to serve as a lender of last resort and the principles that should guide those interventions. The principles that have come to be known as Bagehot’s dictum remain highly influential. Whether they are actually followed has been a matter of more debate. See generally, </w:t>
      </w:r>
      <w:r w:rsidR="00B106B2" w:rsidRPr="00B106B2">
        <w:t>T</w:t>
      </w:r>
      <w:r w:rsidR="00FF6ED0">
        <w:t>homas</w:t>
      </w:r>
      <w:r w:rsidR="00B106B2" w:rsidRPr="00B106B2">
        <w:t xml:space="preserve"> L.</w:t>
      </w:r>
      <w:r w:rsidR="008F0DDA">
        <w:t xml:space="preserve"> H</w:t>
      </w:r>
      <w:r w:rsidR="00FF6ED0">
        <w:t>ogan</w:t>
      </w:r>
      <w:r w:rsidR="00B106B2" w:rsidRPr="00B106B2">
        <w:t>, L</w:t>
      </w:r>
      <w:r w:rsidR="00FF6ED0">
        <w:t>inh</w:t>
      </w:r>
      <w:r w:rsidR="00B106B2" w:rsidRPr="00B106B2">
        <w:t xml:space="preserve"> L</w:t>
      </w:r>
      <w:r w:rsidR="00FF6ED0">
        <w:t>e</w:t>
      </w:r>
      <w:r w:rsidR="00B106B2" w:rsidRPr="00B106B2">
        <w:t>, and A</w:t>
      </w:r>
      <w:r w:rsidR="00FF6ED0">
        <w:t>lexander</w:t>
      </w:r>
      <w:r w:rsidR="00B106B2" w:rsidRPr="00B106B2">
        <w:t xml:space="preserve"> W</w:t>
      </w:r>
      <w:r w:rsidR="00FF6ED0">
        <w:t>illiam</w:t>
      </w:r>
      <w:r w:rsidR="00B106B2" w:rsidRPr="00B106B2">
        <w:t xml:space="preserve"> </w:t>
      </w:r>
      <w:r w:rsidR="00FF6ED0">
        <w:t>Salter</w:t>
      </w:r>
      <w:r w:rsidR="002F41C9">
        <w:t>,</w:t>
      </w:r>
      <w:r w:rsidR="00B106B2" w:rsidRPr="00B106B2">
        <w:t xml:space="preserve"> “Ben Bernanke and Bagehot’s Rules</w:t>
      </w:r>
      <w:r w:rsidR="002F41C9">
        <w:t>,</w:t>
      </w:r>
      <w:r w:rsidR="00B106B2" w:rsidRPr="00B106B2">
        <w:t xml:space="preserve">” </w:t>
      </w:r>
      <w:r w:rsidR="00B106B2" w:rsidRPr="00CD7EBF">
        <w:rPr>
          <w:i/>
          <w:iCs/>
        </w:rPr>
        <w:t>Journal of Money, Credit and Banking</w:t>
      </w:r>
      <w:r w:rsidR="00B106B2" w:rsidRPr="00B106B2">
        <w:t xml:space="preserve"> 47, no. 2/3 (2015): 333–48</w:t>
      </w:r>
      <w:r w:rsidR="00374A52">
        <w:t xml:space="preserve">; </w:t>
      </w:r>
      <w:r w:rsidR="00E7602B">
        <w:t xml:space="preserve">Walter Bagehot, </w:t>
      </w:r>
      <w:r w:rsidR="00E7602B">
        <w:rPr>
          <w:i/>
          <w:iCs/>
        </w:rPr>
        <w:t>Lombard Street: A Description of the Money Market</w:t>
      </w:r>
      <w:r w:rsidR="007206EB">
        <w:rPr>
          <w:i/>
          <w:iCs/>
        </w:rPr>
        <w:t xml:space="preserve"> </w:t>
      </w:r>
      <w:r w:rsidR="007206EB">
        <w:t>(</w:t>
      </w:r>
      <w:r w:rsidR="00B12CF2">
        <w:t xml:space="preserve">London: Henry S. King &amp; Co., </w:t>
      </w:r>
      <w:r w:rsidR="00B50D56">
        <w:t>1873).</w:t>
      </w:r>
    </w:p>
  </w:footnote>
  <w:footnote w:id="16">
    <w:p w14:paraId="58CBEF62" w14:textId="445F16E6" w:rsidR="0020686A" w:rsidRPr="00651B7E" w:rsidRDefault="0020686A" w:rsidP="00CC3A07">
      <w:pPr>
        <w:pStyle w:val="FootnoteText"/>
        <w:rPr>
          <w:lang w:val="en-CA"/>
        </w:rPr>
      </w:pPr>
      <w:r w:rsidRPr="00651B7E">
        <w:rPr>
          <w:rStyle w:val="FootnoteReference"/>
        </w:rPr>
        <w:footnoteRef/>
      </w:r>
      <w:r w:rsidR="00A25C79">
        <w:t xml:space="preserve"> </w:t>
      </w:r>
      <w:r w:rsidR="003D7079">
        <w:t xml:space="preserve">Department of the Treasury and Department of Housing and Urban Development, </w:t>
      </w:r>
      <w:r w:rsidR="00702F4C" w:rsidRPr="00CD7EBF">
        <w:rPr>
          <w:i/>
          <w:iCs/>
        </w:rPr>
        <w:t>Reforming America</w:t>
      </w:r>
      <w:r w:rsidR="003D7079">
        <w:rPr>
          <w:i/>
          <w:iCs/>
        </w:rPr>
        <w:t>’</w:t>
      </w:r>
      <w:r w:rsidR="00702F4C" w:rsidRPr="00CD7EBF">
        <w:rPr>
          <w:i/>
          <w:iCs/>
        </w:rPr>
        <w:t xml:space="preserve">s </w:t>
      </w:r>
      <w:r w:rsidR="003D7079">
        <w:rPr>
          <w:i/>
          <w:iCs/>
        </w:rPr>
        <w:t>H</w:t>
      </w:r>
      <w:r w:rsidR="00702F4C" w:rsidRPr="00CD7EBF">
        <w:rPr>
          <w:i/>
          <w:iCs/>
        </w:rPr>
        <w:t xml:space="preserve">ousing </w:t>
      </w:r>
      <w:r w:rsidR="003D7079">
        <w:rPr>
          <w:i/>
          <w:iCs/>
        </w:rPr>
        <w:t>F</w:t>
      </w:r>
      <w:r w:rsidR="00702F4C" w:rsidRPr="00CD7EBF">
        <w:rPr>
          <w:i/>
          <w:iCs/>
        </w:rPr>
        <w:t xml:space="preserve">inance </w:t>
      </w:r>
      <w:r w:rsidR="003D7079">
        <w:rPr>
          <w:i/>
          <w:iCs/>
        </w:rPr>
        <w:t>M</w:t>
      </w:r>
      <w:r w:rsidR="00702F4C" w:rsidRPr="00CD7EBF">
        <w:rPr>
          <w:i/>
          <w:iCs/>
        </w:rPr>
        <w:t>arket</w:t>
      </w:r>
      <w:r w:rsidR="003D7079">
        <w:rPr>
          <w:i/>
          <w:iCs/>
        </w:rPr>
        <w:t>:</w:t>
      </w:r>
      <w:r w:rsidR="00702F4C" w:rsidRPr="00CD7EBF">
        <w:rPr>
          <w:i/>
          <w:iCs/>
        </w:rPr>
        <w:t xml:space="preserve"> </w:t>
      </w:r>
      <w:r w:rsidR="003D7079">
        <w:rPr>
          <w:i/>
          <w:iCs/>
        </w:rPr>
        <w:t>A</w:t>
      </w:r>
      <w:r w:rsidR="00702F4C" w:rsidRPr="00CD7EBF">
        <w:rPr>
          <w:i/>
          <w:iCs/>
        </w:rPr>
        <w:t xml:space="preserve"> </w:t>
      </w:r>
      <w:r w:rsidR="003D7079">
        <w:rPr>
          <w:i/>
          <w:iCs/>
        </w:rPr>
        <w:t>R</w:t>
      </w:r>
      <w:r w:rsidR="00702F4C" w:rsidRPr="00CD7EBF">
        <w:rPr>
          <w:i/>
          <w:iCs/>
        </w:rPr>
        <w:t>eport to Congress</w:t>
      </w:r>
      <w:r w:rsidR="00702F4C" w:rsidRPr="00651B7E">
        <w:t xml:space="preserve"> </w:t>
      </w:r>
      <w:r w:rsidR="00E60620">
        <w:t>(</w:t>
      </w:r>
      <w:r w:rsidR="00C64711">
        <w:t xml:space="preserve">Washington D.C.: U.S. </w:t>
      </w:r>
      <w:r w:rsidR="00EB4570">
        <w:t xml:space="preserve">Dept. of the </w:t>
      </w:r>
      <w:r w:rsidR="00C64711">
        <w:t xml:space="preserve">Treasury, </w:t>
      </w:r>
      <w:r w:rsidR="00702F4C" w:rsidRPr="00651B7E">
        <w:t>2011</w:t>
      </w:r>
      <w:r w:rsidR="00E60620">
        <w:t>)</w:t>
      </w:r>
      <w:r w:rsidR="00AC7C54">
        <w:t>,</w:t>
      </w:r>
      <w:r w:rsidR="000B2A5E">
        <w:t xml:space="preserve"> 14</w:t>
      </w:r>
      <w:r w:rsidR="0030316C">
        <w:t>,</w:t>
      </w:r>
      <w:r w:rsidR="00702F4C" w:rsidRPr="00651B7E">
        <w:t xml:space="preserve"> Retrieved from the Digital Public Library of America, </w:t>
      </w:r>
      <w:hyperlink r:id="rId9" w:history="1">
        <w:r w:rsidR="009040B7" w:rsidRPr="00E36F50">
          <w:rPr>
            <w:rStyle w:val="Hyperlink"/>
          </w:rPr>
          <w:t>http://catalog.gpo.gov/F/?func=direct&amp;doc_number=000794397&amp;format=999</w:t>
        </w:r>
      </w:hyperlink>
      <w:r w:rsidR="009040B7">
        <w:t>.</w:t>
      </w:r>
    </w:p>
  </w:footnote>
  <w:footnote w:id="17">
    <w:p w14:paraId="1A3D0553" w14:textId="73B73E23" w:rsidR="002D4BE0" w:rsidRPr="003546D0" w:rsidRDefault="002D4BE0" w:rsidP="00CC3A07">
      <w:pPr>
        <w:pStyle w:val="FootnoteText"/>
      </w:pPr>
      <w:r>
        <w:rPr>
          <w:rStyle w:val="FootnoteReference"/>
        </w:rPr>
        <w:footnoteRef/>
      </w:r>
      <w:r>
        <w:t xml:space="preserve"> </w:t>
      </w:r>
      <w:r w:rsidRPr="00AE5D4F">
        <w:rPr>
          <w:highlight w:val="white"/>
        </w:rPr>
        <w:t xml:space="preserve">Kathryn Judge, </w:t>
      </w:r>
      <w:r w:rsidR="00852145">
        <w:t>“</w:t>
      </w:r>
      <w:r w:rsidRPr="00BE06D0">
        <w:rPr>
          <w:iCs/>
        </w:rPr>
        <w:t>The Unraveling of the Federal Home Loan Bank System</w:t>
      </w:r>
      <w:r w:rsidRPr="00852145">
        <w:rPr>
          <w:iCs/>
          <w:highlight w:val="white"/>
        </w:rPr>
        <w:t>,</w:t>
      </w:r>
      <w:r w:rsidR="00852145">
        <w:rPr>
          <w:highlight w:val="white"/>
        </w:rPr>
        <w:t>”</w:t>
      </w:r>
      <w:r w:rsidRPr="00AE5D4F">
        <w:rPr>
          <w:highlight w:val="white"/>
        </w:rPr>
        <w:t xml:space="preserve"> </w:t>
      </w:r>
      <w:r w:rsidR="0030316C" w:rsidRPr="00CD7EBF">
        <w:rPr>
          <w:i/>
          <w:iCs/>
        </w:rPr>
        <w:t>Yale Journal</w:t>
      </w:r>
      <w:r w:rsidR="00852145" w:rsidRPr="00CD7EBF">
        <w:rPr>
          <w:i/>
          <w:iCs/>
        </w:rPr>
        <w:t xml:space="preserve"> on</w:t>
      </w:r>
      <w:r w:rsidRPr="00CD7EBF">
        <w:rPr>
          <w:i/>
          <w:iCs/>
        </w:rPr>
        <w:t xml:space="preserve"> Reg</w:t>
      </w:r>
      <w:r w:rsidR="00852145" w:rsidRPr="00CD7EBF">
        <w:rPr>
          <w:i/>
          <w:iCs/>
        </w:rPr>
        <w:t>ulation</w:t>
      </w:r>
      <w:r w:rsidR="00A9674A" w:rsidRPr="00184AAE">
        <w:t xml:space="preserve"> 41</w:t>
      </w:r>
      <w:r w:rsidRPr="00184AAE">
        <w:t xml:space="preserve"> (Forthcoming 2024).</w:t>
      </w:r>
    </w:p>
  </w:footnote>
  <w:footnote w:id="18">
    <w:p w14:paraId="3201F621" w14:textId="536E074E" w:rsidR="002D4BE0" w:rsidRDefault="002D4BE0" w:rsidP="00CC3A07">
      <w:pPr>
        <w:pStyle w:val="FootnoteText"/>
      </w:pPr>
      <w:r>
        <w:rPr>
          <w:rStyle w:val="FootnoteReference"/>
        </w:rPr>
        <w:footnoteRef/>
      </w:r>
      <w:r>
        <w:t xml:space="preserve"> </w:t>
      </w:r>
      <w:r w:rsidRPr="002911D7">
        <w:t>When the Fed is making a loan via the discount window or via an emergency liquidity facility, the</w:t>
      </w:r>
      <w:r w:rsidRPr="00406992">
        <w:t xml:space="preserve"> Federal Reserve Bank </w:t>
      </w:r>
      <w:r w:rsidRPr="002911D7">
        <w:t xml:space="preserve">making the loan can only do so if </w:t>
      </w:r>
      <w:r w:rsidRPr="00406992">
        <w:t>secured to its satisfaction.</w:t>
      </w:r>
      <w:r w:rsidRPr="002911D7">
        <w:t xml:space="preserve"> E.g., 12 CFR 201.3.</w:t>
      </w:r>
    </w:p>
  </w:footnote>
  <w:footnote w:id="19">
    <w:p w14:paraId="06AC17BF" w14:textId="0348D27D" w:rsidR="002E3AC9" w:rsidRPr="00406992" w:rsidRDefault="002E3AC9">
      <w:pPr>
        <w:pStyle w:val="FootnoteText"/>
        <w:rPr>
          <w:lang w:val="en-CA"/>
        </w:rPr>
      </w:pPr>
      <w:r>
        <w:rPr>
          <w:rStyle w:val="FootnoteReference"/>
        </w:rPr>
        <w:footnoteRef/>
      </w:r>
      <w:r>
        <w:t xml:space="preserve"> </w:t>
      </w:r>
      <w:r w:rsidR="00A9674A" w:rsidRPr="00A9674A">
        <w:t>Kathryn Judge, “The Unraveling of the Federal Home Loan Bank System</w:t>
      </w:r>
      <w:r w:rsidR="005174E7">
        <w:t>.</w:t>
      </w:r>
      <w:r w:rsidR="00A9674A" w:rsidRPr="00A9674A">
        <w:t>”</w:t>
      </w:r>
      <w:r w:rsidR="005174E7" w:rsidRPr="00AE5D4F" w:rsidDel="00A9674A">
        <w:rPr>
          <w:highlight w:val="white"/>
        </w:rPr>
        <w:t xml:space="preserve"> </w:t>
      </w:r>
    </w:p>
  </w:footnote>
  <w:footnote w:id="20">
    <w:p w14:paraId="53F8B955" w14:textId="6AA99139" w:rsidR="00CF3C97" w:rsidRPr="00066D91" w:rsidRDefault="00CF3C97" w:rsidP="00066D91">
      <w:pPr>
        <w:pStyle w:val="FootnoteText"/>
      </w:pPr>
      <w:r>
        <w:rPr>
          <w:rStyle w:val="FootnoteReference"/>
        </w:rPr>
        <w:footnoteRef/>
      </w:r>
      <w:r>
        <w:t xml:space="preserve"> </w:t>
      </w:r>
      <w:r w:rsidR="00E22F74">
        <w:t xml:space="preserve">Federal Home Loan Banks, </w:t>
      </w:r>
      <w:r w:rsidR="00066D91" w:rsidRPr="00CD7EBF">
        <w:rPr>
          <w:i/>
          <w:iCs/>
        </w:rPr>
        <w:t>Combined Financial Report for the Year Ended December 31, 2023</w:t>
      </w:r>
      <w:r w:rsidR="00E22F74">
        <w:t xml:space="preserve"> (issued Mar 22, 2024)</w:t>
      </w:r>
      <w:r w:rsidR="00414148">
        <w:t>,</w:t>
      </w:r>
      <w:r w:rsidR="00A879FE">
        <w:t xml:space="preserve"> S-14</w:t>
      </w:r>
      <w:r w:rsidR="00066D91">
        <w:t xml:space="preserve">, </w:t>
      </w:r>
      <w:hyperlink r:id="rId10" w:history="1">
        <w:r w:rsidR="000B5483" w:rsidRPr="000B5483">
          <w:rPr>
            <w:rStyle w:val="Hyperlink"/>
          </w:rPr>
          <w:t>https://www.fhlb-of.com/ofweb_userWeb/resources/2023Q4CFR.pdf</w:t>
        </w:r>
      </w:hyperlink>
      <w:r w:rsidR="00A879FE">
        <w:t>.</w:t>
      </w:r>
    </w:p>
  </w:footnote>
  <w:footnote w:id="21">
    <w:p w14:paraId="58BF3969" w14:textId="417D19B3" w:rsidR="0055699B" w:rsidRPr="00406992" w:rsidRDefault="0055699B">
      <w:pPr>
        <w:pStyle w:val="FootnoteText"/>
        <w:rPr>
          <w:lang w:val="en-CA"/>
        </w:rPr>
      </w:pPr>
      <w:r>
        <w:rPr>
          <w:rStyle w:val="FootnoteReference"/>
        </w:rPr>
        <w:footnoteRef/>
      </w:r>
      <w:r>
        <w:t xml:space="preserve"> </w:t>
      </w:r>
      <w:r w:rsidR="00E75C00" w:rsidRPr="00E75C00">
        <w:t>Board of Governors of the Federal Reserve System</w:t>
      </w:r>
      <w:r w:rsidR="00C77C3A">
        <w:t>,</w:t>
      </w:r>
      <w:r w:rsidR="00E75C00" w:rsidRPr="00E75C00">
        <w:t xml:space="preserve"> </w:t>
      </w:r>
      <w:r w:rsidR="00E75C00" w:rsidRPr="00CD7EBF">
        <w:rPr>
          <w:i/>
          <w:iCs/>
        </w:rPr>
        <w:t>109th Annual Report of the Board of Governors of the Federal Reserve System — Statistical Tables,</w:t>
      </w:r>
      <w:r w:rsidR="00C77C3A">
        <w:t xml:space="preserve"> (</w:t>
      </w:r>
      <w:r w:rsidR="00E75C00" w:rsidRPr="00E75C00">
        <w:t>2022</w:t>
      </w:r>
      <w:r w:rsidR="00C77C3A">
        <w:t>)</w:t>
      </w:r>
      <w:r w:rsidR="006F53A2">
        <w:t xml:space="preserve">, </w:t>
      </w:r>
      <w:r w:rsidR="00870992">
        <w:t>Table G.12</w:t>
      </w:r>
      <w:r w:rsidR="00E75C00" w:rsidRPr="00E75C00">
        <w:t xml:space="preserve">. </w:t>
      </w:r>
      <w:hyperlink r:id="rId11" w:history="1">
        <w:r w:rsidR="00870992" w:rsidRPr="00D72F18">
          <w:rPr>
            <w:rStyle w:val="Hyperlink"/>
          </w:rPr>
          <w:t>https://www.federalreserve.gov/publications/2022-ar-statistical-tables.htm</w:t>
        </w:r>
      </w:hyperlink>
      <w:r w:rsidR="00F44DCC">
        <w:t>;</w:t>
      </w:r>
      <w:r w:rsidR="00870992">
        <w:t xml:space="preserve"> </w:t>
      </w:r>
      <w:r w:rsidR="00D475F7" w:rsidRPr="00D475F7">
        <w:t>“Who Are the Members of the Federal Reserve Board, and How Are They Selected?</w:t>
      </w:r>
      <w:r w:rsidR="009D3D18">
        <w:t>,</w:t>
      </w:r>
      <w:r w:rsidR="00D475F7" w:rsidRPr="00D475F7">
        <w:t xml:space="preserve">” </w:t>
      </w:r>
      <w:r w:rsidR="00FF40A7">
        <w:t xml:space="preserve">FAQs, </w:t>
      </w:r>
      <w:r w:rsidR="00A31295">
        <w:t xml:space="preserve">Board of Governors of the Federal Reserve System, </w:t>
      </w:r>
      <w:r w:rsidR="00D906AF">
        <w:t xml:space="preserve">last modified </w:t>
      </w:r>
      <w:r w:rsidR="00D475F7" w:rsidRPr="00D475F7">
        <w:t>April 3, 2019</w:t>
      </w:r>
      <w:r w:rsidR="00291532">
        <w:t>,</w:t>
      </w:r>
      <w:r w:rsidR="00D475F7" w:rsidRPr="00D475F7">
        <w:t xml:space="preserve"> </w:t>
      </w:r>
      <w:hyperlink r:id="rId12" w:history="1">
        <w:r w:rsidR="00B41EC8" w:rsidRPr="00D72F18">
          <w:rPr>
            <w:rStyle w:val="Hyperlink"/>
          </w:rPr>
          <w:t>https://www.federalreserve.gov/faqs/about_12591.htm</w:t>
        </w:r>
      </w:hyperlink>
      <w:r w:rsidR="00D475F7" w:rsidRPr="00D475F7">
        <w:t>.</w:t>
      </w:r>
      <w:r w:rsidR="00B41EC8">
        <w:t xml:space="preserve"> </w:t>
      </w:r>
    </w:p>
  </w:footnote>
  <w:footnote w:id="22">
    <w:p w14:paraId="4F9628DC" w14:textId="2CE5DB8F" w:rsidR="00750670" w:rsidRPr="00406992" w:rsidRDefault="00750670">
      <w:pPr>
        <w:pStyle w:val="FootnoteText"/>
        <w:rPr>
          <w:lang w:val="en-CA"/>
        </w:rPr>
      </w:pPr>
      <w:r>
        <w:rPr>
          <w:rStyle w:val="FootnoteReference"/>
        </w:rPr>
        <w:footnoteRef/>
      </w:r>
      <w:r>
        <w:t xml:space="preserve"> </w:t>
      </w:r>
      <w:r w:rsidR="008E10DF" w:rsidRPr="008E10DF">
        <w:t>Federal Home Loan Banks</w:t>
      </w:r>
      <w:r w:rsidR="00291532">
        <w:t>,</w:t>
      </w:r>
      <w:r w:rsidR="008E10DF" w:rsidRPr="008E10DF">
        <w:t xml:space="preserve"> </w:t>
      </w:r>
      <w:r w:rsidR="008E10DF" w:rsidRPr="00CD7EBF">
        <w:rPr>
          <w:i/>
          <w:iCs/>
        </w:rPr>
        <w:t>Combined Financial Report for the Year Ended December 31, 2022</w:t>
      </w:r>
      <w:r w:rsidR="008E10DF" w:rsidRPr="008E10DF">
        <w:t xml:space="preserve"> </w:t>
      </w:r>
      <w:r w:rsidR="00BD2377">
        <w:t xml:space="preserve">(issued </w:t>
      </w:r>
      <w:r w:rsidR="008E10DF" w:rsidRPr="008E10DF">
        <w:t>March 24, 2023</w:t>
      </w:r>
      <w:r w:rsidR="00BD2377">
        <w:t>)</w:t>
      </w:r>
      <w:r w:rsidR="00291532">
        <w:t>,</w:t>
      </w:r>
      <w:r w:rsidR="00BD2377">
        <w:t xml:space="preserve"> S-14</w:t>
      </w:r>
      <w:r w:rsidR="001F5CF3">
        <w:t>,</w:t>
      </w:r>
      <w:r w:rsidR="008E10DF" w:rsidRPr="008E10DF">
        <w:t xml:space="preserve"> </w:t>
      </w:r>
      <w:hyperlink r:id="rId13" w:history="1">
        <w:r w:rsidR="00BD2377" w:rsidRPr="00D72F18">
          <w:rPr>
            <w:rStyle w:val="Hyperlink"/>
          </w:rPr>
          <w:t>https://www.fhlb-of.com/ofweb_userWeb/resources/2022Q4CFR.pdf</w:t>
        </w:r>
      </w:hyperlink>
      <w:r w:rsidR="00BD2377">
        <w:t xml:space="preserve">; </w:t>
      </w:r>
      <w:r w:rsidR="00B41EC8" w:rsidRPr="00E75C00">
        <w:t>Board of Governors of the Federal Reserve System</w:t>
      </w:r>
      <w:r w:rsidR="001F5CF3">
        <w:t xml:space="preserve">, </w:t>
      </w:r>
      <w:r w:rsidR="00E27724" w:rsidRPr="00CD7EBF">
        <w:rPr>
          <w:i/>
          <w:iCs/>
        </w:rPr>
        <w:t xml:space="preserve">109th </w:t>
      </w:r>
      <w:r w:rsidR="00EB53DD" w:rsidRPr="00CD7EBF">
        <w:rPr>
          <w:i/>
          <w:iCs/>
        </w:rPr>
        <w:t>Annual Report</w:t>
      </w:r>
      <w:r w:rsidR="00B41EC8">
        <w:t>, Table G.12</w:t>
      </w:r>
      <w:r w:rsidR="00B41EC8" w:rsidRPr="00E75C00">
        <w:t>.</w:t>
      </w:r>
      <w:r w:rsidR="008A2CE6" w:rsidRPr="008A2CE6">
        <w:rPr>
          <w:lang w:val="en-CA"/>
        </w:rPr>
        <w:t xml:space="preserve"> </w:t>
      </w:r>
    </w:p>
  </w:footnote>
  <w:footnote w:id="23">
    <w:p w14:paraId="1AF8D803" w14:textId="26B1693C" w:rsidR="00D76058" w:rsidRPr="00406992" w:rsidRDefault="00D76058">
      <w:pPr>
        <w:pStyle w:val="FootnoteText"/>
        <w:rPr>
          <w:lang w:val="en-CA"/>
        </w:rPr>
      </w:pPr>
      <w:r>
        <w:rPr>
          <w:rStyle w:val="FootnoteReference"/>
        </w:rPr>
        <w:footnoteRef/>
      </w:r>
      <w:r>
        <w:t xml:space="preserve"> </w:t>
      </w:r>
      <w:r w:rsidR="008A2CE6" w:rsidRPr="008E10DF">
        <w:t>Federal Home Loan Banks</w:t>
      </w:r>
      <w:r w:rsidR="001F5CF3">
        <w:t>,</w:t>
      </w:r>
      <w:r w:rsidR="008A2CE6" w:rsidRPr="008E10DF">
        <w:t xml:space="preserve"> </w:t>
      </w:r>
      <w:r w:rsidR="0025466F" w:rsidRPr="00CD7EBF">
        <w:rPr>
          <w:i/>
          <w:iCs/>
        </w:rPr>
        <w:t>Combined Financial Report for the Year Ended December 31, 2022</w:t>
      </w:r>
      <w:r w:rsidR="001F5CF3">
        <w:rPr>
          <w:i/>
          <w:iCs/>
        </w:rPr>
        <w:t>,</w:t>
      </w:r>
      <w:r w:rsidR="008A2CE6" w:rsidRPr="008E10DF">
        <w:t xml:space="preserve"> </w:t>
      </w:r>
      <w:r w:rsidR="008A2CE6">
        <w:t>26</w:t>
      </w:r>
      <w:r w:rsidR="008B159B">
        <w:t xml:space="preserve">; </w:t>
      </w:r>
      <w:r w:rsidR="008A2CE6" w:rsidRPr="00E75C00">
        <w:t>Board of Governors of the Federal Reserve System</w:t>
      </w:r>
      <w:r w:rsidR="001F5CF3">
        <w:t>,</w:t>
      </w:r>
      <w:r w:rsidR="008A2CE6" w:rsidRPr="00E75C00">
        <w:t xml:space="preserve"> </w:t>
      </w:r>
      <w:r w:rsidR="00E27724" w:rsidRPr="00801733">
        <w:rPr>
          <w:i/>
          <w:iCs/>
        </w:rPr>
        <w:t xml:space="preserve">109th </w:t>
      </w:r>
      <w:r w:rsidR="006D25FF" w:rsidRPr="00CD7EBF">
        <w:rPr>
          <w:i/>
          <w:iCs/>
        </w:rPr>
        <w:t>Annual Report</w:t>
      </w:r>
      <w:r w:rsidR="008A2CE6">
        <w:t>, Table G.12</w:t>
      </w:r>
      <w:r w:rsidR="008A2CE6" w:rsidRPr="00E75C00">
        <w:t>.</w:t>
      </w:r>
    </w:p>
  </w:footnote>
  <w:footnote w:id="24">
    <w:p w14:paraId="6D6FBD0A" w14:textId="664BEBF0" w:rsidR="007434E1" w:rsidRPr="00AF1883" w:rsidRDefault="00714343">
      <w:pPr>
        <w:pStyle w:val="FootnoteText"/>
      </w:pPr>
      <w:r>
        <w:rPr>
          <w:rStyle w:val="FootnoteReference"/>
        </w:rPr>
        <w:footnoteRef/>
      </w:r>
      <w:r>
        <w:t xml:space="preserve"> </w:t>
      </w:r>
      <w:r w:rsidR="00F338DF" w:rsidRPr="00F338DF">
        <w:t>Federal Home Loan Banks</w:t>
      </w:r>
      <w:r w:rsidR="001F5CF3">
        <w:t>,</w:t>
      </w:r>
      <w:r w:rsidR="00F338DF" w:rsidRPr="00F338DF">
        <w:t xml:space="preserve"> </w:t>
      </w:r>
      <w:r w:rsidR="0025466F" w:rsidRPr="00CD7EBF">
        <w:rPr>
          <w:i/>
          <w:iCs/>
        </w:rPr>
        <w:t>Combined Financial Report for the Year Ended December 31, 2022</w:t>
      </w:r>
      <w:r w:rsidR="001F5CF3">
        <w:t>,</w:t>
      </w:r>
      <w:r w:rsidR="00F338DF" w:rsidRPr="00F338DF">
        <w:t xml:space="preserve"> </w:t>
      </w:r>
      <w:r w:rsidR="00F338DF">
        <w:t xml:space="preserve">41; </w:t>
      </w:r>
      <w:r w:rsidR="00AF1883" w:rsidRPr="00AF1883">
        <w:t>“Federal Reserve Banks</w:t>
      </w:r>
      <w:r w:rsidR="001F5CF3">
        <w:t>,</w:t>
      </w:r>
      <w:r w:rsidR="00AF1883" w:rsidRPr="00AF1883">
        <w:t>”</w:t>
      </w:r>
      <w:r w:rsidR="001F5CF3">
        <w:t xml:space="preserve"> About </w:t>
      </w:r>
      <w:r w:rsidR="0038384E">
        <w:t>the Fed, Board of Governors of the Federal Reserve System,</w:t>
      </w:r>
      <w:r w:rsidR="00AF1883" w:rsidRPr="00AF1883">
        <w:t xml:space="preserve"> Accessed June 28, 2024</w:t>
      </w:r>
      <w:r w:rsidR="0038384E">
        <w:t xml:space="preserve">, </w:t>
      </w:r>
      <w:r w:rsidR="00AF1883" w:rsidRPr="00AF1883">
        <w:t xml:space="preserve"> </w:t>
      </w:r>
      <w:hyperlink r:id="rId14" w:history="1">
        <w:r w:rsidR="00AF1883" w:rsidRPr="00D72F18">
          <w:rPr>
            <w:rStyle w:val="Hyperlink"/>
          </w:rPr>
          <w:t>https://www.federalreserve.gov/aboutthefed/federal-reserve-system.htm</w:t>
        </w:r>
      </w:hyperlink>
      <w:r w:rsidR="00AF1883" w:rsidRPr="00AF1883">
        <w:t>.</w:t>
      </w:r>
      <w:r w:rsidR="00AF1883">
        <w:t xml:space="preserve"> </w:t>
      </w:r>
    </w:p>
  </w:footnote>
  <w:footnote w:id="25">
    <w:p w14:paraId="6714E29A" w14:textId="4FDA82F6" w:rsidR="00B00AC9" w:rsidRPr="00406992" w:rsidRDefault="00B00AC9">
      <w:pPr>
        <w:pStyle w:val="FootnoteText"/>
        <w:rPr>
          <w:lang w:val="en-CA"/>
        </w:rPr>
      </w:pPr>
      <w:r>
        <w:rPr>
          <w:rStyle w:val="FootnoteReference"/>
        </w:rPr>
        <w:footnoteRef/>
      </w:r>
      <w:r>
        <w:t xml:space="preserve"> </w:t>
      </w:r>
      <w:r w:rsidR="00B27EE3" w:rsidRPr="008E10DF">
        <w:t>Federal Home Loan Banks</w:t>
      </w:r>
      <w:r w:rsidR="0038384E">
        <w:t>,</w:t>
      </w:r>
      <w:r w:rsidR="00B27EE3" w:rsidRPr="008E10DF">
        <w:t xml:space="preserve"> </w:t>
      </w:r>
      <w:r w:rsidR="0067773E" w:rsidRPr="00CD7EBF">
        <w:rPr>
          <w:i/>
          <w:iCs/>
        </w:rPr>
        <w:t>Combined Financial Report for the Year Ended December 31, 2022</w:t>
      </w:r>
      <w:r w:rsidR="00B27EE3" w:rsidRPr="008E10DF">
        <w:t xml:space="preserve">, </w:t>
      </w:r>
      <w:r w:rsidR="00B27EE3">
        <w:t xml:space="preserve">F-82-F-83; </w:t>
      </w:r>
      <w:r w:rsidR="00B27EE3" w:rsidRPr="00E75C00">
        <w:t>Board of Governors of the Federal Reserve System</w:t>
      </w:r>
      <w:r w:rsidR="0038384E">
        <w:t>,</w:t>
      </w:r>
      <w:r w:rsidR="00B27EE3" w:rsidRPr="00E75C00">
        <w:t xml:space="preserve"> </w:t>
      </w:r>
      <w:r w:rsidR="00E27724" w:rsidRPr="00801733">
        <w:rPr>
          <w:i/>
          <w:iCs/>
        </w:rPr>
        <w:t xml:space="preserve">109th </w:t>
      </w:r>
      <w:r w:rsidR="00B27EE3" w:rsidRPr="00CD7EBF">
        <w:rPr>
          <w:i/>
          <w:iCs/>
        </w:rPr>
        <w:t>Annual Report</w:t>
      </w:r>
      <w:r w:rsidR="00B27EE3">
        <w:t>, Table G.9</w:t>
      </w:r>
      <w:r w:rsidR="00B27EE3" w:rsidRPr="00E75C00">
        <w:t>.</w:t>
      </w:r>
    </w:p>
  </w:footnote>
  <w:footnote w:id="26">
    <w:p w14:paraId="30DF27F5" w14:textId="6DACC413" w:rsidR="00E71463" w:rsidRPr="00406992" w:rsidRDefault="00E71463">
      <w:pPr>
        <w:pStyle w:val="FootnoteText"/>
        <w:rPr>
          <w:lang w:val="en-CA"/>
        </w:rPr>
      </w:pPr>
      <w:r>
        <w:rPr>
          <w:rStyle w:val="FootnoteReference"/>
        </w:rPr>
        <w:footnoteRef/>
      </w:r>
      <w:r>
        <w:t xml:space="preserve"> </w:t>
      </w:r>
      <w:r w:rsidR="008342EA" w:rsidRPr="008E10DF">
        <w:t>Federal Home Loan Banks</w:t>
      </w:r>
      <w:r w:rsidR="0038384E">
        <w:t>,</w:t>
      </w:r>
      <w:r w:rsidR="008342EA" w:rsidRPr="008E10DF">
        <w:t xml:space="preserve"> </w:t>
      </w:r>
      <w:r w:rsidR="0067773E" w:rsidRPr="00CD7EBF">
        <w:rPr>
          <w:i/>
          <w:iCs/>
        </w:rPr>
        <w:t>Combined Financial Report for the Year Ended December 31, 2022</w:t>
      </w:r>
      <w:r w:rsidR="008342EA" w:rsidRPr="008E10DF">
        <w:t>,</w:t>
      </w:r>
      <w:r w:rsidR="008342EA">
        <w:t xml:space="preserve"> F-78-F-79; </w:t>
      </w:r>
      <w:r w:rsidR="008342EA" w:rsidRPr="00E75C00">
        <w:t>Board of Governors of the Federal Reserve System</w:t>
      </w:r>
      <w:r w:rsidR="0038384E">
        <w:t>,</w:t>
      </w:r>
      <w:r w:rsidR="008342EA" w:rsidRPr="00E75C00">
        <w:t xml:space="preserve"> </w:t>
      </w:r>
      <w:r w:rsidR="00E27724" w:rsidRPr="00801733">
        <w:rPr>
          <w:i/>
          <w:iCs/>
        </w:rPr>
        <w:t xml:space="preserve">109th </w:t>
      </w:r>
      <w:r w:rsidR="008342EA" w:rsidRPr="00CD7EBF">
        <w:rPr>
          <w:i/>
          <w:iCs/>
        </w:rPr>
        <w:t>Annual Report</w:t>
      </w:r>
      <w:r w:rsidR="008342EA">
        <w:t>, Table G.8A</w:t>
      </w:r>
      <w:r w:rsidR="008342EA" w:rsidRPr="00E75C00">
        <w:t>.</w:t>
      </w:r>
    </w:p>
  </w:footnote>
  <w:footnote w:id="27">
    <w:p w14:paraId="335F9111" w14:textId="1A90DB33" w:rsidR="00057D44" w:rsidRPr="00651B7E" w:rsidRDefault="00057D44" w:rsidP="00CC3A07">
      <w:pPr>
        <w:pStyle w:val="FootnoteText"/>
        <w:rPr>
          <w:lang w:val="en-CA"/>
        </w:rPr>
      </w:pPr>
      <w:r w:rsidRPr="00651B7E">
        <w:rPr>
          <w:rStyle w:val="FootnoteReference"/>
        </w:rPr>
        <w:footnoteRef/>
      </w:r>
      <w:r w:rsidRPr="00651B7E">
        <w:t xml:space="preserve"> </w:t>
      </w:r>
      <w:r w:rsidRPr="00CD7EBF">
        <w:t>Federal Housing Enterprises Financial Safety and Soundness Act of 1992</w:t>
      </w:r>
      <w:r w:rsidRPr="00980194">
        <w:t>,</w:t>
      </w:r>
      <w:r>
        <w:t xml:space="preserve"> 12 U.S.C</w:t>
      </w:r>
      <w:r w:rsidR="00DC411C">
        <w:t>.</w:t>
      </w:r>
      <w:r>
        <w:t xml:space="preserve"> </w:t>
      </w:r>
      <w:r w:rsidRPr="00057D44">
        <w:t>§4518</w:t>
      </w:r>
      <w:r>
        <w:t xml:space="preserve"> (2008).</w:t>
      </w:r>
    </w:p>
  </w:footnote>
  <w:footnote w:id="28">
    <w:p w14:paraId="258DD362" w14:textId="2DDE87F1" w:rsidR="00944154" w:rsidRDefault="00944154" w:rsidP="00CC3A07">
      <w:pPr>
        <w:pStyle w:val="FootnoteText"/>
      </w:pPr>
      <w:r>
        <w:rPr>
          <w:rStyle w:val="FootnoteReference"/>
        </w:rPr>
        <w:footnoteRef/>
      </w:r>
      <w:r>
        <w:t xml:space="preserve"> For a further explanation of why many of the private banks that the FHLBanks now use as reference points are not comparable, </w:t>
      </w:r>
      <w:r w:rsidRPr="00406992">
        <w:rPr>
          <w:i/>
          <w:iCs/>
        </w:rPr>
        <w:t>see</w:t>
      </w:r>
      <w:r>
        <w:t xml:space="preserve"> </w:t>
      </w:r>
      <w:r w:rsidR="00B57D8A" w:rsidRPr="00B57D8A">
        <w:t xml:space="preserve">Donald H. </w:t>
      </w:r>
      <w:r w:rsidR="00DC411C">
        <w:t xml:space="preserve">Layton, </w:t>
      </w:r>
      <w:r w:rsidR="00B57D8A" w:rsidRPr="00B57D8A">
        <w:t xml:space="preserve">“The GSE Public-Private Hybrid Model Flunks Again: This Time It’s the Federal Home Loan Bank System (Part 2),” </w:t>
      </w:r>
      <w:r w:rsidR="00510BD0" w:rsidRPr="00CD7EBF">
        <w:rPr>
          <w:i/>
          <w:iCs/>
        </w:rPr>
        <w:t>The Stoop NY</w:t>
      </w:r>
      <w:r w:rsidR="005F1842" w:rsidRPr="00CD7EBF">
        <w:rPr>
          <w:i/>
          <w:iCs/>
        </w:rPr>
        <w:t>U Furman Center Blog</w:t>
      </w:r>
      <w:r w:rsidR="005F1842">
        <w:t xml:space="preserve"> (blog), </w:t>
      </w:r>
      <w:r w:rsidR="00B57D8A" w:rsidRPr="00B57D8A">
        <w:t>March 11, 2024</w:t>
      </w:r>
      <w:r w:rsidR="00DC411C">
        <w:t>,</w:t>
      </w:r>
      <w:r w:rsidR="00B57D8A" w:rsidRPr="00B57D8A">
        <w:t xml:space="preserve"> </w:t>
      </w:r>
      <w:hyperlink r:id="rId15" w:history="1">
        <w:r w:rsidR="00BF2EE0" w:rsidRPr="00D72F18">
          <w:rPr>
            <w:rStyle w:val="Hyperlink"/>
          </w:rPr>
          <w:t>https://furmancenter.org/thestoop/entry/the-gse-public-private-hybrid-model-flunks-again-this-time-its-the-federal-home-loan-bank-system-part-2</w:t>
        </w:r>
      </w:hyperlink>
      <w:r w:rsidR="00B57D8A" w:rsidRPr="00B57D8A">
        <w:t>.</w:t>
      </w:r>
      <w:r w:rsidR="00BF2EE0">
        <w:t xml:space="preserve"> </w:t>
      </w:r>
    </w:p>
  </w:footnote>
  <w:footnote w:id="29">
    <w:p w14:paraId="119CFBCE" w14:textId="462DF1FB" w:rsidR="001F47C7" w:rsidRPr="00406992" w:rsidRDefault="001F47C7">
      <w:pPr>
        <w:pStyle w:val="FootnoteText"/>
        <w:rPr>
          <w:lang w:val="en-CA"/>
        </w:rPr>
      </w:pPr>
      <w:r>
        <w:rPr>
          <w:rStyle w:val="FootnoteReference"/>
        </w:rPr>
        <w:footnoteRef/>
      </w:r>
      <w:r>
        <w:t xml:space="preserve"> </w:t>
      </w:r>
      <w:r w:rsidR="0075493E" w:rsidRPr="00CD7EBF">
        <w:t>Federal Housing Enterprises Financial Safety and Soundness Act of 1992</w:t>
      </w:r>
      <w:r w:rsidR="0075493E" w:rsidRPr="00470B05">
        <w:t>,</w:t>
      </w:r>
      <w:r w:rsidR="0075493E">
        <w:t xml:space="preserve"> 12 U.S.C </w:t>
      </w:r>
      <w:r w:rsidR="0075493E" w:rsidRPr="00057D44">
        <w:t>§4518</w:t>
      </w:r>
      <w:r w:rsidR="0075493E">
        <w:t xml:space="preserve"> </w:t>
      </w:r>
      <w:r w:rsidR="009D7F1B">
        <w:t xml:space="preserve">(a) </w:t>
      </w:r>
      <w:r w:rsidR="0075493E">
        <w:t>(2008).</w:t>
      </w:r>
    </w:p>
  </w:footnote>
  <w:footnote w:id="30">
    <w:p w14:paraId="35EC71FF" w14:textId="57D7B0E9" w:rsidR="006F4FD4" w:rsidRPr="00651B7E" w:rsidRDefault="006F4FD4" w:rsidP="001A6517">
      <w:pPr>
        <w:pStyle w:val="FootnoteText"/>
        <w:rPr>
          <w:lang w:val="en-CA"/>
        </w:rPr>
      </w:pPr>
      <w:r>
        <w:rPr>
          <w:rStyle w:val="FootnoteReference"/>
        </w:rPr>
        <w:footnoteRef/>
      </w:r>
      <w:r>
        <w:t xml:space="preserve"> </w:t>
      </w:r>
      <w:r w:rsidR="0013586A" w:rsidRPr="0013586A">
        <w:t>“Council of Federal Home Loan Banks Profile: Summary</w:t>
      </w:r>
      <w:r w:rsidR="00543ADA">
        <w:t>,</w:t>
      </w:r>
      <w:r w:rsidR="0013586A" w:rsidRPr="0013586A">
        <w:t xml:space="preserve">” </w:t>
      </w:r>
      <w:r w:rsidR="003A7781">
        <w:t xml:space="preserve">Organizations Summary, </w:t>
      </w:r>
      <w:r w:rsidR="0013586A" w:rsidRPr="0013586A">
        <w:t>OpenSecrets, 2024</w:t>
      </w:r>
      <w:r w:rsidR="00543ADA">
        <w:t>,</w:t>
      </w:r>
      <w:r w:rsidR="0013586A" w:rsidRPr="0013586A">
        <w:t xml:space="preserve"> </w:t>
      </w:r>
      <w:hyperlink r:id="rId16" w:history="1">
        <w:r w:rsidR="0013586A" w:rsidRPr="00D72F18">
          <w:rPr>
            <w:rStyle w:val="Hyperlink"/>
          </w:rPr>
          <w:t>https://www.opensecrets.org/orgs/council-of-federal-home-loan-banks/summary?contribcycle=2024&amp;id=D000049792&amp;lobcycle=2024&amp;outspendcycle=2022&amp;topnumcycle=2024&amp;toprecipcycle=2024</w:t>
        </w:r>
      </w:hyperlink>
      <w:r w:rsidR="003A7781">
        <w:t>;</w:t>
      </w:r>
      <w:r w:rsidR="006D7AC7">
        <w:t xml:space="preserve"> </w:t>
      </w:r>
      <w:r w:rsidR="0013586A">
        <w:t xml:space="preserve"> </w:t>
      </w:r>
    </w:p>
    <w:p w14:paraId="7989E584" w14:textId="58D60008" w:rsidR="006F4FD4" w:rsidRPr="00651B7E" w:rsidRDefault="009F4895" w:rsidP="001A6517">
      <w:pPr>
        <w:pStyle w:val="FootnoteText"/>
        <w:rPr>
          <w:lang w:val="en-CA"/>
        </w:rPr>
      </w:pPr>
      <w:r w:rsidRPr="009F4895">
        <w:rPr>
          <w:lang w:val="en-CA"/>
        </w:rPr>
        <w:t>“Federal Home Loan Bank Profile: Summary</w:t>
      </w:r>
      <w:r w:rsidR="00543ADA">
        <w:rPr>
          <w:lang w:val="en-CA"/>
        </w:rPr>
        <w:t>,</w:t>
      </w:r>
      <w:r w:rsidRPr="009F4895">
        <w:rPr>
          <w:lang w:val="en-CA"/>
        </w:rPr>
        <w:t xml:space="preserve">” </w:t>
      </w:r>
      <w:r w:rsidR="006D7AC7">
        <w:rPr>
          <w:lang w:val="en-CA"/>
        </w:rPr>
        <w:t xml:space="preserve">Organizations Summary, </w:t>
      </w:r>
      <w:r w:rsidRPr="009F4895">
        <w:rPr>
          <w:lang w:val="en-CA"/>
        </w:rPr>
        <w:t>OpenSecrets</w:t>
      </w:r>
      <w:r w:rsidR="007913CA">
        <w:rPr>
          <w:lang w:val="en-CA"/>
        </w:rPr>
        <w:t>, 2024</w:t>
      </w:r>
      <w:r w:rsidR="00543ADA">
        <w:rPr>
          <w:lang w:val="en-CA"/>
        </w:rPr>
        <w:t>,</w:t>
      </w:r>
      <w:r w:rsidRPr="009F4895">
        <w:rPr>
          <w:lang w:val="en-CA"/>
        </w:rPr>
        <w:t xml:space="preserve"> Accessed June 28, 2024</w:t>
      </w:r>
      <w:r w:rsidR="00543ADA">
        <w:rPr>
          <w:lang w:val="en-CA"/>
        </w:rPr>
        <w:t>,</w:t>
      </w:r>
      <w:r w:rsidRPr="009F4895">
        <w:rPr>
          <w:lang w:val="en-CA"/>
        </w:rPr>
        <w:t xml:space="preserve"> </w:t>
      </w:r>
      <w:hyperlink r:id="rId17" w:history="1">
        <w:r w:rsidRPr="00D72F18">
          <w:rPr>
            <w:rStyle w:val="Hyperlink"/>
            <w:lang w:val="en-CA"/>
          </w:rPr>
          <w:t>https://www.opensecrets.org/orgs/federal-home-loan-bank/summary?contribcycle=2024&amp;id=D000025773&amp;lobcycle=2024&amp;outspendcycle=2022&amp;topnumcycle=2024&amp;toprecipcycle=2024</w:t>
        </w:r>
      </w:hyperlink>
      <w:r w:rsidRPr="009F4895">
        <w:rPr>
          <w:lang w:val="en-CA"/>
        </w:rPr>
        <w:t>.</w:t>
      </w:r>
    </w:p>
  </w:footnote>
  <w:footnote w:id="31">
    <w:p w14:paraId="7D80E48F" w14:textId="75B66662" w:rsidR="00CA779C" w:rsidRPr="00651B7E" w:rsidRDefault="00CA779C" w:rsidP="001A6517">
      <w:pPr>
        <w:pStyle w:val="FootnoteText"/>
      </w:pPr>
      <w:r w:rsidRPr="00651B7E">
        <w:rPr>
          <w:rStyle w:val="FootnoteReference"/>
        </w:rPr>
        <w:footnoteRef/>
      </w:r>
      <w:r w:rsidRPr="00651B7E">
        <w:t xml:space="preserve"> </w:t>
      </w:r>
      <w:r w:rsidR="00AD6EBA" w:rsidRPr="00AD6EBA">
        <w:t>U.S. House of Representatives</w:t>
      </w:r>
      <w:r w:rsidR="00AD6EBA">
        <w:t xml:space="preserve"> </w:t>
      </w:r>
      <w:r w:rsidR="00CE2F32" w:rsidRPr="00651B7E">
        <w:t>Committee on Oversight and Government Reform</w:t>
      </w:r>
      <w:r w:rsidR="00543ADA">
        <w:t>,</w:t>
      </w:r>
      <w:r w:rsidR="00CE2F32" w:rsidRPr="00651B7E">
        <w:t xml:space="preserve"> </w:t>
      </w:r>
      <w:r w:rsidR="00261046" w:rsidRPr="00CD7EBF">
        <w:rPr>
          <w:i/>
          <w:iCs/>
        </w:rPr>
        <w:t>The Role of Government Affordable Housing Policy in Creating the Global Financial Crisis of 2008</w:t>
      </w:r>
      <w:r w:rsidR="00CE2F32" w:rsidRPr="00CD7EBF">
        <w:rPr>
          <w:i/>
          <w:iCs/>
        </w:rPr>
        <w:t xml:space="preserve"> </w:t>
      </w:r>
      <w:r w:rsidR="00CE2F32" w:rsidRPr="00651B7E">
        <w:t>(May 2010)</w:t>
      </w:r>
      <w:r w:rsidR="00BA561C">
        <w:t>,</w:t>
      </w:r>
      <w:r w:rsidR="00CE2F32" w:rsidRPr="00651B7E">
        <w:t xml:space="preserve"> 15</w:t>
      </w:r>
      <w:r w:rsidR="00543ADA">
        <w:t>,</w:t>
      </w:r>
      <w:r w:rsidR="00CE2F32" w:rsidRPr="00651B7E">
        <w:t xml:space="preserve"> </w:t>
      </w:r>
      <w:hyperlink r:id="rId18" w:history="1">
        <w:r w:rsidR="007913CA" w:rsidRPr="00D72F18">
          <w:rPr>
            <w:rStyle w:val="Hyperlink"/>
          </w:rPr>
          <w:t>https://oversight.house.gov/report/the-role-of-government-affordable-housing-policy-in-creating-the-global-financial-crisis-of-2008/</w:t>
        </w:r>
      </w:hyperlink>
      <w:r w:rsidR="007913CA">
        <w:t xml:space="preserve">. </w:t>
      </w:r>
    </w:p>
  </w:footnote>
  <w:footnote w:id="32">
    <w:p w14:paraId="2674E71E" w14:textId="0EFE3CE4" w:rsidR="00BC541F" w:rsidRPr="00651B7E" w:rsidRDefault="00BC541F" w:rsidP="00CC3A07">
      <w:pPr>
        <w:pStyle w:val="FootnoteText"/>
        <w:rPr>
          <w:lang w:val="en-CA"/>
        </w:rPr>
      </w:pPr>
      <w:r w:rsidRPr="00651B7E">
        <w:rPr>
          <w:rStyle w:val="FootnoteReference"/>
        </w:rPr>
        <w:footnoteRef/>
      </w:r>
      <w:r w:rsidRPr="00651B7E">
        <w:t xml:space="preserve"> </w:t>
      </w:r>
      <w:r w:rsidR="00765F2E" w:rsidRPr="00651B7E">
        <w:rPr>
          <w:lang w:val="en-CA"/>
        </w:rPr>
        <w:t>Earlier versions of the Senate Bill 190 had clear intent of removing the FHFA from the appropriations process</w:t>
      </w:r>
      <w:r w:rsidR="00395F6C" w:rsidRPr="00651B7E">
        <w:rPr>
          <w:lang w:val="en-CA"/>
        </w:rPr>
        <w:t xml:space="preserve">, </w:t>
      </w:r>
      <w:r w:rsidR="00395F6C" w:rsidRPr="00406992">
        <w:rPr>
          <w:i/>
          <w:iCs/>
          <w:lang w:val="en-CA"/>
        </w:rPr>
        <w:t>s</w:t>
      </w:r>
      <w:r w:rsidR="00765F2E" w:rsidRPr="00406992">
        <w:rPr>
          <w:i/>
          <w:iCs/>
          <w:lang w:val="en-CA"/>
        </w:rPr>
        <w:t>ee</w:t>
      </w:r>
      <w:r w:rsidR="00765F2E" w:rsidRPr="00651B7E">
        <w:rPr>
          <w:lang w:val="en-CA"/>
        </w:rPr>
        <w:t xml:space="preserve"> </w:t>
      </w:r>
      <w:r w:rsidR="00E64792" w:rsidRPr="00651B7E">
        <w:rPr>
          <w:lang w:val="en-CA"/>
        </w:rPr>
        <w:t>Mark Jickling</w:t>
      </w:r>
      <w:r w:rsidR="00543ADA">
        <w:rPr>
          <w:lang w:val="en-CA"/>
        </w:rPr>
        <w:t>,</w:t>
      </w:r>
      <w:r w:rsidR="00E64792" w:rsidRPr="00651B7E">
        <w:rPr>
          <w:lang w:val="en-CA"/>
        </w:rPr>
        <w:t xml:space="preserve"> </w:t>
      </w:r>
      <w:r w:rsidR="00CD73A3" w:rsidRPr="00CD7EBF">
        <w:rPr>
          <w:i/>
          <w:iCs/>
          <w:lang w:val="en-CA"/>
        </w:rPr>
        <w:t>Government-Sponsored Enterprises (GSEs): Reform Legislation in the 109th Congress</w:t>
      </w:r>
      <w:r w:rsidR="00E64792" w:rsidRPr="00651B7E">
        <w:rPr>
          <w:lang w:val="en-CA"/>
        </w:rPr>
        <w:t xml:space="preserve"> (</w:t>
      </w:r>
      <w:r w:rsidR="00CF5E62">
        <w:rPr>
          <w:lang w:val="en-CA"/>
        </w:rPr>
        <w:t xml:space="preserve">Congressional Research Service, </w:t>
      </w:r>
      <w:r w:rsidR="00801259" w:rsidRPr="00651B7E">
        <w:rPr>
          <w:lang w:val="en-CA"/>
        </w:rPr>
        <w:t>Jan 2007)</w:t>
      </w:r>
      <w:r w:rsidR="008450A2">
        <w:rPr>
          <w:lang w:val="en-CA"/>
        </w:rPr>
        <w:t>,</w:t>
      </w:r>
      <w:r w:rsidR="00801259" w:rsidRPr="00651B7E">
        <w:rPr>
          <w:lang w:val="en-CA"/>
        </w:rPr>
        <w:t xml:space="preserve"> 14</w:t>
      </w:r>
      <w:r w:rsidR="007913CA">
        <w:rPr>
          <w:lang w:val="en-CA"/>
        </w:rPr>
        <w:t xml:space="preserve">, </w:t>
      </w:r>
      <w:hyperlink r:id="rId19" w:history="1">
        <w:r w:rsidR="007913CA" w:rsidRPr="007913CA">
          <w:rPr>
            <w:rStyle w:val="Hyperlink"/>
            <w:lang w:val="en-CA"/>
          </w:rPr>
          <w:t>https://www.everycrsreport.com/files/20070116_RL32795_664677ceb6692d385159a713209737be8a465f89.pdf</w:t>
        </w:r>
      </w:hyperlink>
      <w:r w:rsidR="00D24F6F">
        <w:rPr>
          <w:lang w:val="en-CA"/>
        </w:rPr>
        <w:t xml:space="preserve">; </w:t>
      </w:r>
      <w:r w:rsidR="00D24F6F" w:rsidRPr="00651B7E">
        <w:t>Secretary John W. Snow also stressed the budgetary independence of GSE regulatory reform</w:t>
      </w:r>
      <w:r w:rsidR="00D24F6F">
        <w:t xml:space="preserve">, </w:t>
      </w:r>
      <w:r w:rsidR="00D24F6F">
        <w:rPr>
          <w:i/>
          <w:iCs/>
        </w:rPr>
        <w:t>s</w:t>
      </w:r>
      <w:r w:rsidR="00D24F6F" w:rsidRPr="00406992">
        <w:rPr>
          <w:i/>
          <w:iCs/>
        </w:rPr>
        <w:t>ee</w:t>
      </w:r>
      <w:r w:rsidR="00D24F6F" w:rsidRPr="00651B7E">
        <w:t xml:space="preserve"> </w:t>
      </w:r>
      <w:r w:rsidR="00D24F6F" w:rsidRPr="00CD7EBF">
        <w:rPr>
          <w:i/>
          <w:iCs/>
        </w:rPr>
        <w:t>Testimony of Secretary John W. Snow Before the U.S. Senate Committee on Banking, Housing and Urban Affairs Proposals for Housing GSE Reform,</w:t>
      </w:r>
      <w:r w:rsidR="002D0BBF">
        <w:t xml:space="preserve"> </w:t>
      </w:r>
      <w:r w:rsidR="00D24F6F" w:rsidRPr="00651B7E">
        <w:t>109</w:t>
      </w:r>
      <w:r w:rsidR="00D24F6F" w:rsidRPr="00651B7E">
        <w:rPr>
          <w:vertAlign w:val="superscript"/>
        </w:rPr>
        <w:t>th</w:t>
      </w:r>
      <w:r w:rsidR="00D24F6F" w:rsidRPr="00651B7E">
        <w:t xml:space="preserve"> Congress (April 2005)</w:t>
      </w:r>
      <w:r w:rsidR="00D24F6F">
        <w:t>,</w:t>
      </w:r>
      <w:r w:rsidR="00D24F6F" w:rsidRPr="00651B7E">
        <w:t xml:space="preserve"> </w:t>
      </w:r>
      <w:hyperlink r:id="rId20" w:history="1">
        <w:r w:rsidR="00D24F6F" w:rsidRPr="00D72F18">
          <w:rPr>
            <w:rStyle w:val="Hyperlink"/>
          </w:rPr>
          <w:t>https://home.treasury.gov/news/press-releases/js2362</w:t>
        </w:r>
      </w:hyperlink>
      <w:r w:rsidR="00D24F6F">
        <w:t xml:space="preserve">. </w:t>
      </w:r>
    </w:p>
  </w:footnote>
  <w:footnote w:id="33">
    <w:p w14:paraId="0D3C53E3" w14:textId="18E5C883" w:rsidR="007B1A21" w:rsidRPr="00BE06D0" w:rsidRDefault="007B1A21">
      <w:pPr>
        <w:pStyle w:val="FootnoteText"/>
        <w:rPr>
          <w:lang w:val="en-CA"/>
        </w:rPr>
      </w:pPr>
      <w:r>
        <w:rPr>
          <w:rStyle w:val="FootnoteReference"/>
        </w:rPr>
        <w:footnoteRef/>
      </w:r>
      <w:r>
        <w:t xml:space="preserve"> </w:t>
      </w:r>
      <w:r w:rsidRPr="007B1A21">
        <w:t>Steven</w:t>
      </w:r>
      <w:r w:rsidR="00543ADA">
        <w:t xml:space="preserve"> Kelly</w:t>
      </w:r>
      <w:r w:rsidRPr="007B1A21">
        <w:t>, Susan McLaughlin, and Andrew Metrick</w:t>
      </w:r>
      <w:r w:rsidR="00D3476D">
        <w:t>,</w:t>
      </w:r>
      <w:r w:rsidRPr="007B1A21">
        <w:t xml:space="preserve"> “FHLB Dividends: Low-Hanging Fruit for Reconfiguring FHLB Lending</w:t>
      </w:r>
      <w:r w:rsidR="00543ADA">
        <w:t>,</w:t>
      </w:r>
      <w:r w:rsidRPr="007B1A21">
        <w:t xml:space="preserve">” </w:t>
      </w:r>
      <w:r w:rsidRPr="00CD7EBF">
        <w:rPr>
          <w:i/>
          <w:iCs/>
        </w:rPr>
        <w:t>Program on Financial Stability</w:t>
      </w:r>
      <w:r w:rsidR="004D14D9" w:rsidRPr="00CD7EBF">
        <w:rPr>
          <w:i/>
          <w:iCs/>
        </w:rPr>
        <w:t xml:space="preserve"> at the</w:t>
      </w:r>
      <w:r w:rsidR="004D14D9">
        <w:t xml:space="preserve"> </w:t>
      </w:r>
      <w:r w:rsidR="004D14D9" w:rsidRPr="00CD7EBF">
        <w:rPr>
          <w:i/>
          <w:iCs/>
        </w:rPr>
        <w:t>Yale School of Management</w:t>
      </w:r>
      <w:r w:rsidRPr="007B1A21">
        <w:t>, January 18, 2024</w:t>
      </w:r>
      <w:r w:rsidR="00543ADA">
        <w:t>,</w:t>
      </w:r>
      <w:r w:rsidRPr="007B1A21">
        <w:t xml:space="preserve"> </w:t>
      </w:r>
      <w:hyperlink r:id="rId21" w:history="1">
        <w:r w:rsidR="008B46E5" w:rsidRPr="00E36F50">
          <w:rPr>
            <w:rStyle w:val="Hyperlink"/>
          </w:rPr>
          <w:t>https://som.yale.edu/story/2024/fhlb-dividends-low-hanging-fruit-reconfiguring-fhlb-lending</w:t>
        </w:r>
      </w:hyperlink>
      <w:r w:rsidR="008B46E5">
        <w:t>.</w:t>
      </w:r>
    </w:p>
  </w:footnote>
  <w:footnote w:id="34">
    <w:p w14:paraId="104C1394" w14:textId="1F58182D" w:rsidR="002D4BE0" w:rsidRDefault="002D4BE0" w:rsidP="00CC3A07">
      <w:pPr>
        <w:pStyle w:val="FootnoteText"/>
      </w:pPr>
      <w:r>
        <w:rPr>
          <w:rStyle w:val="FootnoteReference"/>
        </w:rPr>
        <w:footnoteRef/>
      </w:r>
      <w:r>
        <w:t xml:space="preserve"> </w:t>
      </w:r>
      <w:r w:rsidRPr="00184AAE">
        <w:t xml:space="preserve">Jim Parrott </w:t>
      </w:r>
      <w:r w:rsidR="009116D0">
        <w:t xml:space="preserve">and </w:t>
      </w:r>
      <w:r w:rsidRPr="00184AAE">
        <w:t>Mark Zandi</w:t>
      </w:r>
      <w:r w:rsidR="00543ADA" w:rsidRPr="00174CAA">
        <w:t xml:space="preserve">, </w:t>
      </w:r>
      <w:r w:rsidRPr="00CD7EBF">
        <w:rPr>
          <w:i/>
          <w:iCs/>
        </w:rPr>
        <w:t xml:space="preserve">In Defense </w:t>
      </w:r>
      <w:r w:rsidR="009116D0" w:rsidRPr="00CD7EBF">
        <w:rPr>
          <w:i/>
          <w:iCs/>
        </w:rPr>
        <w:t>o</w:t>
      </w:r>
      <w:r w:rsidR="00543ADA" w:rsidRPr="00CD7EBF">
        <w:rPr>
          <w:i/>
          <w:iCs/>
        </w:rPr>
        <w:t xml:space="preserve">f </w:t>
      </w:r>
      <w:r w:rsidR="009116D0" w:rsidRPr="00CD7EBF">
        <w:rPr>
          <w:i/>
          <w:iCs/>
        </w:rPr>
        <w:t>t</w:t>
      </w:r>
      <w:r w:rsidR="00543ADA" w:rsidRPr="00CD7EBF">
        <w:rPr>
          <w:i/>
          <w:iCs/>
        </w:rPr>
        <w:t xml:space="preserve">he </w:t>
      </w:r>
      <w:r w:rsidRPr="00CD7EBF">
        <w:rPr>
          <w:i/>
          <w:iCs/>
        </w:rPr>
        <w:t>Federal Home Loan Bank</w:t>
      </w:r>
      <w:r w:rsidR="00323DA7">
        <w:rPr>
          <w:i/>
          <w:iCs/>
        </w:rPr>
        <w:t xml:space="preserve">s </w:t>
      </w:r>
      <w:r w:rsidR="00323DA7" w:rsidRPr="00CD7EBF">
        <w:t>(April 10, 2023)</w:t>
      </w:r>
      <w:r w:rsidRPr="00323DA7">
        <w:rPr>
          <w:smallCaps/>
        </w:rPr>
        <w:t>,</w:t>
      </w:r>
      <w:r w:rsidRPr="00ED3428">
        <w:rPr>
          <w:smallCaps/>
        </w:rPr>
        <w:t xml:space="preserve"> </w:t>
      </w:r>
      <w:hyperlink r:id="rId22" w:history="1">
        <w:r w:rsidR="008E29B2" w:rsidRPr="00D72F18">
          <w:rPr>
            <w:rStyle w:val="Hyperlink"/>
          </w:rPr>
          <w:t>https://www.urban.org/research/publication/defense-federal-home-loan-banks</w:t>
        </w:r>
      </w:hyperlink>
      <w:r w:rsidR="008E29B2">
        <w:t xml:space="preserve">. </w:t>
      </w:r>
    </w:p>
  </w:footnote>
  <w:footnote w:id="35">
    <w:p w14:paraId="5197C219" w14:textId="4C5A53F4" w:rsidR="002D4BE0" w:rsidRDefault="002D4BE0" w:rsidP="00CC3A07">
      <w:pPr>
        <w:pStyle w:val="FootnoteText"/>
      </w:pPr>
      <w:r>
        <w:rPr>
          <w:rStyle w:val="FootnoteReference"/>
        </w:rPr>
        <w:footnoteRef/>
      </w:r>
      <w:r>
        <w:t xml:space="preserve"> Ashcraft et al</w:t>
      </w:r>
      <w:r w:rsidR="00E46277">
        <w:t>.</w:t>
      </w:r>
      <w:r>
        <w:t xml:space="preserve">, </w:t>
      </w:r>
      <w:r w:rsidR="00543ADA">
        <w:t>“</w:t>
      </w:r>
      <w:r w:rsidR="008E29B2" w:rsidRPr="00BE06D0">
        <w:t xml:space="preserve">The Federal Home Loan Bank System: The Lender of Next-to-Last </w:t>
      </w:r>
      <w:proofErr w:type="gramStart"/>
      <w:r w:rsidR="008E29B2" w:rsidRPr="00BE06D0">
        <w:t>Resort?</w:t>
      </w:r>
      <w:r w:rsidR="008E29B2" w:rsidRPr="00543ADA">
        <w:t>.</w:t>
      </w:r>
      <w:proofErr w:type="gramEnd"/>
      <w:r w:rsidR="00543ADA" w:rsidRPr="00543ADA">
        <w:t>”</w:t>
      </w:r>
    </w:p>
  </w:footnote>
  <w:footnote w:id="36">
    <w:p w14:paraId="45FE0ECD" w14:textId="3202086D" w:rsidR="002D4BE0" w:rsidRDefault="002D4BE0" w:rsidP="00CC3A07">
      <w:pPr>
        <w:pStyle w:val="FootnoteText"/>
      </w:pPr>
      <w:r>
        <w:rPr>
          <w:rStyle w:val="FootnoteReference"/>
        </w:rPr>
        <w:footnoteRef/>
      </w:r>
      <w:r>
        <w:t xml:space="preserve"> For an explanation of why the FHLBanks have taken on this maturity mismatch and broader implications, </w:t>
      </w:r>
      <w:r w:rsidRPr="00406992">
        <w:rPr>
          <w:i/>
          <w:iCs/>
        </w:rPr>
        <w:t>see</w:t>
      </w:r>
      <w:r w:rsidR="00543ADA">
        <w:t xml:space="preserve"> </w:t>
      </w:r>
      <w:r w:rsidR="007C08DC" w:rsidRPr="007C08DC">
        <w:t>Stefan</w:t>
      </w:r>
      <w:r w:rsidR="00543ADA">
        <w:t xml:space="preserve"> Gissler</w:t>
      </w:r>
      <w:r w:rsidR="007C08DC" w:rsidRPr="007C08DC">
        <w:t>, Borghan Narajabad, and Daniel K</w:t>
      </w:r>
      <w:r w:rsidR="00B71585">
        <w:t>.</w:t>
      </w:r>
      <w:r w:rsidR="007C08DC" w:rsidRPr="007C08DC">
        <w:t xml:space="preserve"> Tarullo</w:t>
      </w:r>
      <w:r w:rsidR="00543ADA">
        <w:t>,</w:t>
      </w:r>
      <w:r w:rsidR="007C08DC" w:rsidRPr="007C08DC">
        <w:t xml:space="preserve"> “Federal Home Loan Banks and Financial Stability</w:t>
      </w:r>
      <w:r w:rsidR="00543ADA">
        <w:t>,</w:t>
      </w:r>
      <w:r w:rsidR="007C08DC" w:rsidRPr="007C08DC">
        <w:t xml:space="preserve">” </w:t>
      </w:r>
      <w:r w:rsidR="007C08DC" w:rsidRPr="00CD7EBF">
        <w:rPr>
          <w:i/>
          <w:iCs/>
        </w:rPr>
        <w:t>Journal of Financial Regulation</w:t>
      </w:r>
      <w:r w:rsidR="007C08DC" w:rsidRPr="007C08DC">
        <w:t xml:space="preserve"> 9, no. 1 (April 3, 2023): 1–29. </w:t>
      </w:r>
      <w:hyperlink r:id="rId23" w:history="1">
        <w:r w:rsidR="007C08DC" w:rsidRPr="00D72F18">
          <w:rPr>
            <w:rStyle w:val="Hyperlink"/>
          </w:rPr>
          <w:t>https://doi.org/10.1093/jfr/fjad002</w:t>
        </w:r>
      </w:hyperlink>
      <w:r w:rsidR="007C08DC" w:rsidRPr="007C08DC">
        <w:t>.</w:t>
      </w:r>
      <w:r w:rsidR="007C08DC">
        <w:t xml:space="preserve"> </w:t>
      </w:r>
    </w:p>
  </w:footnote>
  <w:footnote w:id="37">
    <w:p w14:paraId="3E8AA085" w14:textId="3F50D5FB" w:rsidR="002D4BE0" w:rsidRDefault="002D4BE0" w:rsidP="006B6885">
      <w:pPr>
        <w:pStyle w:val="FootnoteText"/>
      </w:pPr>
      <w:r>
        <w:rPr>
          <w:rStyle w:val="FootnoteReference"/>
        </w:rPr>
        <w:footnoteRef/>
      </w:r>
      <w:r>
        <w:t xml:space="preserve"> </w:t>
      </w:r>
      <w:r w:rsidRPr="00406992">
        <w:rPr>
          <w:i/>
          <w:iCs/>
        </w:rPr>
        <w:t>E.g.,</w:t>
      </w:r>
      <w:r>
        <w:t xml:space="preserve"> </w:t>
      </w:r>
      <w:r w:rsidR="006B6885">
        <w:t xml:space="preserve">Kathryn Judge, </w:t>
      </w:r>
      <w:r w:rsidR="00543ADA">
        <w:t>“</w:t>
      </w:r>
      <w:r w:rsidR="006B6885">
        <w:t>The First Year: The Role of a Modern Lender of Last Resort,</w:t>
      </w:r>
      <w:r w:rsidR="00543ADA">
        <w:t>”</w:t>
      </w:r>
      <w:r w:rsidR="006B6885">
        <w:t xml:space="preserve"> </w:t>
      </w:r>
      <w:r w:rsidR="006B6885" w:rsidRPr="00CD7EBF">
        <w:rPr>
          <w:i/>
          <w:iCs/>
        </w:rPr>
        <w:t>C</w:t>
      </w:r>
      <w:r w:rsidR="00543ADA" w:rsidRPr="00CD7EBF">
        <w:rPr>
          <w:i/>
          <w:iCs/>
        </w:rPr>
        <w:t>olumbia</w:t>
      </w:r>
      <w:r w:rsidR="006B6885" w:rsidRPr="00CD7EBF">
        <w:rPr>
          <w:i/>
          <w:iCs/>
        </w:rPr>
        <w:t xml:space="preserve"> L</w:t>
      </w:r>
      <w:r w:rsidR="00543ADA" w:rsidRPr="00CD7EBF">
        <w:rPr>
          <w:i/>
          <w:iCs/>
        </w:rPr>
        <w:t>aw</w:t>
      </w:r>
      <w:r w:rsidR="006B6885" w:rsidRPr="00CD7EBF">
        <w:rPr>
          <w:i/>
          <w:iCs/>
        </w:rPr>
        <w:t xml:space="preserve"> R</w:t>
      </w:r>
      <w:r w:rsidR="00543ADA" w:rsidRPr="00CD7EBF">
        <w:rPr>
          <w:i/>
          <w:iCs/>
        </w:rPr>
        <w:t>eview</w:t>
      </w:r>
      <w:r w:rsidR="006B6885">
        <w:t xml:space="preserve"> </w:t>
      </w:r>
      <w:r w:rsidR="00543ADA">
        <w:t>116</w:t>
      </w:r>
      <w:r w:rsidR="006B6885">
        <w:t xml:space="preserve"> (2016)</w:t>
      </w:r>
      <w:r w:rsidR="00543ADA">
        <w:t>: 843,</w:t>
      </w:r>
      <w:r w:rsidR="006B6885">
        <w:t xml:space="preserve"> </w:t>
      </w:r>
      <w:hyperlink r:id="rId24" w:history="1">
        <w:r w:rsidR="006B6885" w:rsidRPr="00D72F18">
          <w:rPr>
            <w:rStyle w:val="Hyperlink"/>
          </w:rPr>
          <w:t>https://scholarship.law.columbia.edu/faculty_scholarship/106</w:t>
        </w:r>
      </w:hyperlink>
      <w:r w:rsidR="006B6885">
        <w:t xml:space="preserve">. </w:t>
      </w:r>
    </w:p>
  </w:footnote>
  <w:footnote w:id="38">
    <w:p w14:paraId="289E7E49" w14:textId="77777777" w:rsidR="0046376A" w:rsidRDefault="0046376A" w:rsidP="0046376A">
      <w:pPr>
        <w:pStyle w:val="FootnoteText"/>
      </w:pPr>
      <w:r>
        <w:rPr>
          <w:rStyle w:val="FootnoteReference"/>
        </w:rPr>
        <w:footnoteRef/>
      </w:r>
      <w:r>
        <w:t xml:space="preserve"> </w:t>
      </w:r>
      <w:r w:rsidRPr="0004410B">
        <w:t>Claire</w:t>
      </w:r>
      <w:r>
        <w:t xml:space="preserve"> Williams,</w:t>
      </w:r>
      <w:r w:rsidRPr="0004410B">
        <w:t xml:space="preserve"> “Failed Kansas Bank Rapidly Borrowed $21 Million from FHLB System,” </w:t>
      </w:r>
      <w:r w:rsidRPr="00CD7EBF">
        <w:rPr>
          <w:i/>
          <w:iCs/>
        </w:rPr>
        <w:t>American Banker</w:t>
      </w:r>
      <w:r>
        <w:t xml:space="preserve">, </w:t>
      </w:r>
      <w:r w:rsidRPr="0004410B">
        <w:t>February 12, 2024</w:t>
      </w:r>
      <w:r>
        <w:t>,</w:t>
      </w:r>
      <w:r w:rsidRPr="0004410B">
        <w:t xml:space="preserve"> </w:t>
      </w:r>
      <w:hyperlink r:id="rId25" w:history="1">
        <w:r w:rsidRPr="00D72F18">
          <w:rPr>
            <w:rStyle w:val="Hyperlink"/>
          </w:rPr>
          <w:t>https://www.americanbanker.com/news/failed-kansas-bank-rapidly-borrowed-21-million-from-fhlb-system</w:t>
        </w:r>
      </w:hyperlink>
      <w:r w:rsidRPr="0004410B">
        <w:t>.</w:t>
      </w:r>
      <w:r>
        <w:t xml:space="preserve"> </w:t>
      </w:r>
    </w:p>
  </w:footnote>
  <w:footnote w:id="39">
    <w:p w14:paraId="72EFA42F" w14:textId="35F1035A" w:rsidR="0046376A" w:rsidRPr="005E2CB1" w:rsidRDefault="0046376A">
      <w:pPr>
        <w:pStyle w:val="FootnoteText"/>
        <w:rPr>
          <w:lang w:val="en-CA"/>
        </w:rPr>
      </w:pPr>
      <w:r>
        <w:rPr>
          <w:rStyle w:val="FootnoteReference"/>
        </w:rPr>
        <w:footnoteRef/>
      </w:r>
      <w:r>
        <w:t xml:space="preserve"> </w:t>
      </w:r>
      <w:r w:rsidRPr="0004410B">
        <w:t>Claire</w:t>
      </w:r>
      <w:r>
        <w:t xml:space="preserve"> Williams,</w:t>
      </w:r>
      <w:r w:rsidRPr="0004410B">
        <w:t xml:space="preserve"> “Failed Kansas Bank Rapidly Borrowed $21 Million from FHLB System</w:t>
      </w:r>
      <w:r>
        <w:t>.</w:t>
      </w:r>
      <w:r w:rsidRPr="0004410B">
        <w:t>”</w:t>
      </w:r>
    </w:p>
  </w:footnote>
  <w:footnote w:id="40">
    <w:p w14:paraId="673CE42F" w14:textId="62FC28C7" w:rsidR="00086195" w:rsidRDefault="00086195" w:rsidP="00CC3A07">
      <w:pPr>
        <w:pStyle w:val="FootnoteText"/>
      </w:pPr>
      <w:r>
        <w:rPr>
          <w:rStyle w:val="FootnoteReference"/>
        </w:rPr>
        <w:footnoteRef/>
      </w:r>
      <w:r>
        <w:t xml:space="preserve"> </w:t>
      </w:r>
      <w:r w:rsidR="00FF381E" w:rsidRPr="00406992">
        <w:rPr>
          <w:i/>
          <w:iCs/>
        </w:rPr>
        <w:t>E.g.</w:t>
      </w:r>
      <w:r w:rsidR="00FF381E">
        <w:t xml:space="preserve"> </w:t>
      </w:r>
      <w:r w:rsidR="00543ADA">
        <w:t xml:space="preserve">Jeanna </w:t>
      </w:r>
      <w:r w:rsidR="00033EB7" w:rsidRPr="00033EB7">
        <w:t>Smialek and Rob Copeland</w:t>
      </w:r>
      <w:r w:rsidR="00D3476D">
        <w:t>,</w:t>
      </w:r>
      <w:r w:rsidR="00033EB7" w:rsidRPr="00033EB7">
        <w:t xml:space="preserve"> “Bank Runs Spooked Regulators. Now a Clampdown Is Coming.</w:t>
      </w:r>
      <w:r w:rsidR="00AF0097">
        <w:t>,</w:t>
      </w:r>
      <w:r w:rsidR="00033EB7" w:rsidRPr="00033EB7">
        <w:t xml:space="preserve">” </w:t>
      </w:r>
      <w:r w:rsidR="00033EB7" w:rsidRPr="00BE06D0">
        <w:rPr>
          <w:i/>
          <w:iCs/>
        </w:rPr>
        <w:t>The New York Times</w:t>
      </w:r>
      <w:r w:rsidR="00033EB7" w:rsidRPr="00033EB7">
        <w:t>, March 5, 2024</w:t>
      </w:r>
      <w:r w:rsidR="00543ADA">
        <w:t>,</w:t>
      </w:r>
      <w:r w:rsidR="00033EB7" w:rsidRPr="00033EB7">
        <w:t xml:space="preserve"> </w:t>
      </w:r>
      <w:hyperlink r:id="rId26" w:history="1">
        <w:r w:rsidR="00BA29D7" w:rsidRPr="00D72F18">
          <w:rPr>
            <w:rStyle w:val="Hyperlink"/>
          </w:rPr>
          <w:t>https://www.nytimes.com/2024/03/05/business/economy/silicon-valley-bank-federal-reserve.html</w:t>
        </w:r>
      </w:hyperlink>
      <w:r w:rsidR="00033EB7" w:rsidRPr="00033EB7">
        <w:t>.</w:t>
      </w:r>
      <w:r w:rsidR="00BA29D7">
        <w:t xml:space="preserve"> </w:t>
      </w:r>
    </w:p>
  </w:footnote>
  <w:footnote w:id="41">
    <w:p w14:paraId="20E4DFA4" w14:textId="02FFF3D5" w:rsidR="00D404D0" w:rsidRPr="00406992" w:rsidRDefault="00D404D0">
      <w:pPr>
        <w:pStyle w:val="FootnoteText"/>
        <w:rPr>
          <w:lang w:val="en-CA"/>
        </w:rPr>
      </w:pPr>
      <w:r>
        <w:rPr>
          <w:rStyle w:val="FootnoteReference"/>
        </w:rPr>
        <w:footnoteRef/>
      </w:r>
      <w:r>
        <w:t xml:space="preserve"> </w:t>
      </w:r>
      <w:r w:rsidR="00D37DC5" w:rsidRPr="00D37DC5">
        <w:t>Noah Buhayar, Heather Perlberg</w:t>
      </w:r>
      <w:r w:rsidR="00543ADA">
        <w:t>,</w:t>
      </w:r>
      <w:r w:rsidR="00D37DC5" w:rsidRPr="00D37DC5">
        <w:t xml:space="preserve"> </w:t>
      </w:r>
      <w:r w:rsidR="00543ADA">
        <w:t>and</w:t>
      </w:r>
      <w:r w:rsidR="00D37DC5" w:rsidRPr="00D37DC5">
        <w:t xml:space="preserve"> Tom Schoenberg, </w:t>
      </w:r>
      <w:r w:rsidR="00543ADA">
        <w:t>“</w:t>
      </w:r>
      <w:r w:rsidR="004A1398">
        <w:t>A</w:t>
      </w:r>
      <w:r w:rsidR="00D37DC5" w:rsidRPr="00D37DC5">
        <w:t xml:space="preserve"> Vegas Whale</w:t>
      </w:r>
      <w:r w:rsidR="00524133" w:rsidRPr="00524133">
        <w:t xml:space="preserve"> and Wall Street Tap Billions Meant for US Housing</w:t>
      </w:r>
      <w:r w:rsidR="00D37DC5" w:rsidRPr="00D37DC5">
        <w:t>,</w:t>
      </w:r>
      <w:r w:rsidR="00543ADA">
        <w:t>”</w:t>
      </w:r>
      <w:r w:rsidR="00D37DC5" w:rsidRPr="00D37DC5">
        <w:t xml:space="preserve"> </w:t>
      </w:r>
      <w:r w:rsidR="00543ADA" w:rsidRPr="00BE06D0">
        <w:rPr>
          <w:i/>
          <w:iCs/>
        </w:rPr>
        <w:t>Bloomberg</w:t>
      </w:r>
      <w:r w:rsidR="009768AD">
        <w:rPr>
          <w:i/>
          <w:iCs/>
        </w:rPr>
        <w:t>law.com</w:t>
      </w:r>
      <w:r w:rsidR="009768AD">
        <w:t xml:space="preserve">, </w:t>
      </w:r>
      <w:r w:rsidR="00D37DC5" w:rsidRPr="00D37DC5">
        <w:t xml:space="preserve">Oct. 20, 2023, </w:t>
      </w:r>
      <w:hyperlink r:id="rId27" w:history="1">
        <w:r w:rsidR="00524133" w:rsidRPr="00E36F50">
          <w:rPr>
            <w:rStyle w:val="Hyperlink"/>
          </w:rPr>
          <w:t>https://news.bloomberglaw.com/banking-law/a-vegas-whale-and-wall-street-tap-billions-meant-for-us-housing</w:t>
        </w:r>
      </w:hyperlink>
      <w:r w:rsidR="00524133">
        <w:t xml:space="preserve">. </w:t>
      </w:r>
    </w:p>
  </w:footnote>
  <w:footnote w:id="42">
    <w:p w14:paraId="6A7B5E68" w14:textId="2A9FEAF6" w:rsidR="00954434" w:rsidRPr="00406992" w:rsidRDefault="00954434">
      <w:pPr>
        <w:pStyle w:val="FootnoteText"/>
        <w:rPr>
          <w:lang w:val="en-CA"/>
        </w:rPr>
      </w:pPr>
      <w:r>
        <w:rPr>
          <w:rStyle w:val="FootnoteReference"/>
        </w:rPr>
        <w:footnoteRef/>
      </w:r>
      <w:r>
        <w:t xml:space="preserve"> </w:t>
      </w:r>
      <w:r w:rsidR="00F86999" w:rsidRPr="00F86999">
        <w:t>Federal Home Loan Bank Act, ch. 522, § 4(a), 47 Stat. 725, 726 (1932) (current version at 12 U.S.C. § 1424(a))</w:t>
      </w:r>
      <w:r w:rsidR="00F86999">
        <w:t xml:space="preserve">; </w:t>
      </w:r>
      <w:r w:rsidR="00F86999" w:rsidRPr="00F86999">
        <w:t xml:space="preserve">Kathryn Judge, </w:t>
      </w:r>
      <w:r w:rsidR="00543ADA">
        <w:t>“</w:t>
      </w:r>
      <w:r w:rsidR="00F86999" w:rsidRPr="00F86999">
        <w:t>The Unraveling of the Federal Home Loan Bank System</w:t>
      </w:r>
      <w:r w:rsidR="00543ADA">
        <w:t>.”</w:t>
      </w:r>
    </w:p>
  </w:footnote>
  <w:footnote w:id="43">
    <w:p w14:paraId="260ABF0F" w14:textId="1E0CA577" w:rsidR="00FB713C" w:rsidRDefault="00FB713C" w:rsidP="00CC3A07">
      <w:pPr>
        <w:pStyle w:val="FootnoteText"/>
      </w:pPr>
      <w:r>
        <w:rPr>
          <w:rStyle w:val="FootnoteReference"/>
        </w:rPr>
        <w:footnoteRef/>
      </w:r>
      <w:r>
        <w:t xml:space="preserve"> </w:t>
      </w:r>
      <w:r w:rsidR="00995B8F" w:rsidRPr="0059425D">
        <w:t>Adam J. Levitin</w:t>
      </w:r>
      <w:r w:rsidR="00543ADA">
        <w:t xml:space="preserve"> and</w:t>
      </w:r>
      <w:r w:rsidR="00995B8F" w:rsidRPr="0059425D">
        <w:t xml:space="preserve"> Susan M. Wachter, </w:t>
      </w:r>
      <w:r w:rsidR="00995B8F" w:rsidRPr="00CD7EBF">
        <w:rPr>
          <w:i/>
          <w:iCs/>
        </w:rPr>
        <w:t>The Great American Housing Bubble</w:t>
      </w:r>
      <w:r w:rsidR="00995B8F" w:rsidRPr="0059425D">
        <w:t xml:space="preserve"> </w:t>
      </w:r>
      <w:r w:rsidR="001E25C1">
        <w:t>(</w:t>
      </w:r>
      <w:r w:rsidR="00AF7170">
        <w:t xml:space="preserve">Harvard University Press, </w:t>
      </w:r>
      <w:r w:rsidR="00995B8F" w:rsidRPr="0059425D">
        <w:t>2020</w:t>
      </w:r>
      <w:r w:rsidR="00AF7170">
        <w:t>)</w:t>
      </w:r>
      <w:r w:rsidR="00995B8F" w:rsidRPr="0059425D">
        <w:t>.</w:t>
      </w:r>
    </w:p>
  </w:footnote>
  <w:footnote w:id="44">
    <w:p w14:paraId="5A70ACD3" w14:textId="4BC67E47" w:rsidR="007E234F" w:rsidRPr="00406992" w:rsidRDefault="007E234F">
      <w:pPr>
        <w:pStyle w:val="FootnoteText"/>
        <w:rPr>
          <w:lang w:val="en-CA"/>
        </w:rPr>
      </w:pPr>
      <w:r>
        <w:rPr>
          <w:rStyle w:val="FootnoteReference"/>
        </w:rPr>
        <w:footnoteRef/>
      </w:r>
      <w:r>
        <w:t xml:space="preserve"> </w:t>
      </w:r>
      <w:r w:rsidRPr="007E234F">
        <w:t>Natasha Porfirenko</w:t>
      </w:r>
      <w:r w:rsidR="00543ADA">
        <w:t xml:space="preserve"> and</w:t>
      </w:r>
      <w:r w:rsidRPr="007E234F">
        <w:t xml:space="preserve"> James Ryan, </w:t>
      </w:r>
      <w:r w:rsidR="00543ADA">
        <w:t>“</w:t>
      </w:r>
      <w:r w:rsidRPr="007E234F">
        <w:t>Archival Description of President’s Conference on Home Building and Home Ownership,</w:t>
      </w:r>
      <w:r w:rsidR="00543ADA">
        <w:t>”</w:t>
      </w:r>
      <w:r w:rsidRPr="007E234F">
        <w:t xml:space="preserve"> O</w:t>
      </w:r>
      <w:r w:rsidR="00D7591E">
        <w:t>nline</w:t>
      </w:r>
      <w:r w:rsidRPr="007E234F">
        <w:t xml:space="preserve"> A</w:t>
      </w:r>
      <w:r w:rsidR="00D7591E">
        <w:t>rchive</w:t>
      </w:r>
      <w:r w:rsidRPr="007E234F">
        <w:t xml:space="preserve"> </w:t>
      </w:r>
      <w:r w:rsidR="00C01636">
        <w:t>o</w:t>
      </w:r>
      <w:r w:rsidR="00D7591E">
        <w:t>f</w:t>
      </w:r>
      <w:r w:rsidRPr="007E234F">
        <w:t xml:space="preserve"> C</w:t>
      </w:r>
      <w:r w:rsidR="00D7591E">
        <w:t>alifornia,</w:t>
      </w:r>
      <w:r w:rsidRPr="007E234F">
        <w:t xml:space="preserve"> 1998,</w:t>
      </w:r>
      <w:r w:rsidR="00C169F5">
        <w:t xml:space="preserve"> </w:t>
      </w:r>
      <w:hyperlink r:id="rId28" w:history="1">
        <w:r w:rsidR="00C169F5" w:rsidRPr="00C169F5">
          <w:rPr>
            <w:rStyle w:val="Hyperlink"/>
          </w:rPr>
          <w:t>https://oac.cdlib.org/findaid/ark:/13030/tf1w1001jf/entire_text/</w:t>
        </w:r>
      </w:hyperlink>
      <w:r w:rsidRPr="007E234F">
        <w:t>.</w:t>
      </w:r>
    </w:p>
  </w:footnote>
  <w:footnote w:id="45">
    <w:p w14:paraId="23D8F0DB" w14:textId="00B50BAB" w:rsidR="00A82AD8" w:rsidRPr="00406992" w:rsidRDefault="00A82AD8">
      <w:pPr>
        <w:pStyle w:val="FootnoteText"/>
        <w:rPr>
          <w:lang w:val="en-CA"/>
        </w:rPr>
      </w:pPr>
      <w:r>
        <w:rPr>
          <w:rStyle w:val="FootnoteReference"/>
        </w:rPr>
        <w:footnoteRef/>
      </w:r>
      <w:r>
        <w:t xml:space="preserve"> </w:t>
      </w:r>
      <w:r w:rsidR="00E41F8E" w:rsidRPr="00E41F8E">
        <w:t>Federal Home Loan Bank Act,</w:t>
      </w:r>
      <w:r w:rsidRPr="00A82AD8">
        <w:t xml:space="preserve"> ch. 522, §10(a)(1), 47 Stat. 725, 731-32 (1932) (current version at 12 U.S.C. § 1430(a)(1)).</w:t>
      </w:r>
    </w:p>
  </w:footnote>
  <w:footnote w:id="46">
    <w:p w14:paraId="53D2E0B2" w14:textId="145DAD11" w:rsidR="00273E95" w:rsidRPr="00406992" w:rsidRDefault="00273E95">
      <w:pPr>
        <w:pStyle w:val="FootnoteText"/>
        <w:rPr>
          <w:lang w:val="en-CA"/>
        </w:rPr>
      </w:pPr>
      <w:r>
        <w:rPr>
          <w:rStyle w:val="FootnoteReference"/>
        </w:rPr>
        <w:footnoteRef/>
      </w:r>
      <w:r>
        <w:t xml:space="preserve"> </w:t>
      </w:r>
      <w:r w:rsidR="000B48C8" w:rsidRPr="000B48C8">
        <w:t xml:space="preserve">Kathryn Judge, </w:t>
      </w:r>
      <w:r w:rsidR="00543ADA">
        <w:t>“</w:t>
      </w:r>
      <w:r w:rsidR="000B48C8" w:rsidRPr="000B48C8">
        <w:t>The Unraveling of the Federal Home Loan Bank System,</w:t>
      </w:r>
      <w:r w:rsidR="00543ADA">
        <w:t>”</w:t>
      </w:r>
      <w:r w:rsidR="000B48C8" w:rsidRPr="000B48C8">
        <w:t xml:space="preserve"> </w:t>
      </w:r>
      <w:r w:rsidR="000B48C8">
        <w:t>36</w:t>
      </w:r>
      <w:r w:rsidR="00C408FB">
        <w:t>-37</w:t>
      </w:r>
      <w:r w:rsidR="00543ADA">
        <w:t>.</w:t>
      </w:r>
    </w:p>
  </w:footnote>
  <w:footnote w:id="47">
    <w:p w14:paraId="490F653C" w14:textId="116BC17E" w:rsidR="00995B8F" w:rsidRPr="00BE06D0" w:rsidRDefault="00995B8F">
      <w:pPr>
        <w:pStyle w:val="FootnoteText"/>
        <w:rPr>
          <w:lang w:val="en-CA"/>
        </w:rPr>
      </w:pPr>
      <w:r>
        <w:rPr>
          <w:rStyle w:val="FootnoteReference"/>
        </w:rPr>
        <w:footnoteRef/>
      </w:r>
      <w:r>
        <w:t xml:space="preserve"> </w:t>
      </w:r>
      <w:r w:rsidR="00D932C8" w:rsidRPr="00C5546A">
        <w:t>N. Eric</w:t>
      </w:r>
      <w:r w:rsidR="00543ADA">
        <w:t xml:space="preserve"> Weiss</w:t>
      </w:r>
      <w:r w:rsidR="00D932C8" w:rsidRPr="00C5546A">
        <w:t xml:space="preserve"> and Sean M. Hoskins</w:t>
      </w:r>
      <w:r w:rsidR="00543ADA">
        <w:t>,</w:t>
      </w:r>
      <w:r w:rsidR="00D932C8" w:rsidRPr="00C5546A">
        <w:t xml:space="preserve"> </w:t>
      </w:r>
      <w:r w:rsidR="00D932C8" w:rsidRPr="00CD7EBF">
        <w:rPr>
          <w:i/>
          <w:iCs/>
        </w:rPr>
        <w:t>The Conforming Loan Limit</w:t>
      </w:r>
      <w:r w:rsidR="00D932C8" w:rsidRPr="00C5546A">
        <w:t xml:space="preserve"> </w:t>
      </w:r>
      <w:r w:rsidR="008212CB">
        <w:t>(</w:t>
      </w:r>
      <w:r w:rsidR="00D932C8" w:rsidRPr="00CD7EBF">
        <w:t>Congressional Research Service</w:t>
      </w:r>
      <w:r w:rsidR="00D932C8" w:rsidRPr="00C5546A">
        <w:t>, August 2, 2013</w:t>
      </w:r>
      <w:r w:rsidR="008212CB">
        <w:t xml:space="preserve">), </w:t>
      </w:r>
      <w:r w:rsidR="00D932C8" w:rsidRPr="00C5546A">
        <w:t xml:space="preserve"> </w:t>
      </w:r>
      <w:hyperlink r:id="rId29" w:history="1">
        <w:r w:rsidR="00D932C8" w:rsidRPr="00D9119F">
          <w:rPr>
            <w:rStyle w:val="Hyperlink"/>
          </w:rPr>
          <w:t>https://crsreports.congress.gov/product/details?prodcode=RS22172</w:t>
        </w:r>
      </w:hyperlink>
      <w:r w:rsidR="00D932C8">
        <w:t xml:space="preserve">; </w:t>
      </w:r>
      <w:r w:rsidR="00D932C8" w:rsidRPr="00F932E9">
        <w:t>Federal Housing Finance Agency</w:t>
      </w:r>
      <w:r w:rsidR="00543ADA">
        <w:t>,</w:t>
      </w:r>
      <w:r w:rsidR="00D932C8" w:rsidRPr="00F932E9">
        <w:t xml:space="preserve"> “FHFA Announces Conforming Loan Limit Values for 2024,” November 28, 2023</w:t>
      </w:r>
      <w:r w:rsidR="00543ADA">
        <w:t>,</w:t>
      </w:r>
      <w:r w:rsidR="00D932C8" w:rsidRPr="00F932E9">
        <w:t xml:space="preserve"> </w:t>
      </w:r>
      <w:hyperlink r:id="rId30" w:history="1">
        <w:r w:rsidR="00D932C8" w:rsidRPr="00757558">
          <w:rPr>
            <w:rStyle w:val="Hyperlink"/>
          </w:rPr>
          <w:t>https://www.fhfa.gov/news/news-release/fhfa-announces-conforming-loan-limit-values-for-2024</w:t>
        </w:r>
      </w:hyperlink>
      <w:r w:rsidR="00D932C8" w:rsidRPr="00F932E9">
        <w:t>.</w:t>
      </w:r>
    </w:p>
  </w:footnote>
  <w:footnote w:id="48">
    <w:p w14:paraId="00C6932A" w14:textId="12FCA69B" w:rsidR="00D932C8" w:rsidRPr="00BE06D0" w:rsidRDefault="00D932C8">
      <w:pPr>
        <w:pStyle w:val="FootnoteText"/>
        <w:rPr>
          <w:lang w:val="en-CA"/>
        </w:rPr>
      </w:pPr>
      <w:r>
        <w:rPr>
          <w:rStyle w:val="FootnoteReference"/>
        </w:rPr>
        <w:footnoteRef/>
      </w:r>
      <w:r>
        <w:t xml:space="preserve"> </w:t>
      </w:r>
      <w:r w:rsidR="003423E0" w:rsidRPr="00BE06D0">
        <w:t>See Chapter 6: Multifamily</w:t>
      </w:r>
      <w:r w:rsidR="003423E0">
        <w:rPr>
          <w:i/>
          <w:iCs/>
        </w:rPr>
        <w:t xml:space="preserve">, </w:t>
      </w:r>
      <w:r w:rsidR="003423E0" w:rsidRPr="00CD7EBF">
        <w:rPr>
          <w:i/>
          <w:iCs/>
        </w:rPr>
        <w:t>U.S. Real Estate Market Outlook 2022</w:t>
      </w:r>
      <w:r w:rsidR="00AC03C4">
        <w:t xml:space="preserve"> (</w:t>
      </w:r>
      <w:r w:rsidR="003423E0" w:rsidRPr="002020DA">
        <w:t>CBRE, December 8, 2021</w:t>
      </w:r>
      <w:r w:rsidR="00AC03C4">
        <w:t>)</w:t>
      </w:r>
      <w:r w:rsidR="00543ADA">
        <w:t>,</w:t>
      </w:r>
      <w:r w:rsidR="003423E0" w:rsidRPr="002020DA">
        <w:t xml:space="preserve"> </w:t>
      </w:r>
      <w:hyperlink r:id="rId31" w:history="1">
        <w:r w:rsidR="00AC03C4" w:rsidRPr="00B70753">
          <w:rPr>
            <w:rStyle w:val="Hyperlink"/>
          </w:rPr>
          <w:t>https://www.cbre.com/insights/books/us-real-estate-market-outlook-2022</w:t>
        </w:r>
      </w:hyperlink>
      <w:r w:rsidR="003423E0" w:rsidRPr="002020DA">
        <w:t>.</w:t>
      </w:r>
      <w:r w:rsidR="00AC03C4">
        <w:t xml:space="preserve"> </w:t>
      </w:r>
    </w:p>
  </w:footnote>
  <w:footnote w:id="49">
    <w:p w14:paraId="12577635" w14:textId="4A72A74E" w:rsidR="003423E0" w:rsidRPr="00BE06D0" w:rsidRDefault="003423E0">
      <w:pPr>
        <w:pStyle w:val="FootnoteText"/>
        <w:rPr>
          <w:lang w:val="en-CA"/>
        </w:rPr>
      </w:pPr>
      <w:r>
        <w:rPr>
          <w:rStyle w:val="FootnoteReference"/>
        </w:rPr>
        <w:footnoteRef/>
      </w:r>
      <w:r>
        <w:t xml:space="preserve"> </w:t>
      </w:r>
      <w:r w:rsidR="00543ADA">
        <w:t xml:space="preserve">John G. </w:t>
      </w:r>
      <w:r w:rsidR="00B93857" w:rsidRPr="00512D7A">
        <w:t>Markowski, “Surprise! Most Affordable Rentals Are in Small Buildings</w:t>
      </w:r>
      <w:r w:rsidR="00AC03C4">
        <w:t>,</w:t>
      </w:r>
      <w:r w:rsidR="00B93857" w:rsidRPr="00512D7A">
        <w:t xml:space="preserve">” In </w:t>
      </w:r>
      <w:r w:rsidR="00B93857" w:rsidRPr="00CD7EBF">
        <w:rPr>
          <w:i/>
          <w:iCs/>
        </w:rPr>
        <w:t>Small Multifamily Rental Property Financing</w:t>
      </w:r>
      <w:r w:rsidR="00B93857" w:rsidRPr="00512D7A">
        <w:t xml:space="preserve"> </w:t>
      </w:r>
      <w:r w:rsidR="00D94893">
        <w:t>(</w:t>
      </w:r>
      <w:r w:rsidR="00B93857" w:rsidRPr="00512D7A">
        <w:t>Office of the Comptroller of the Currency, 2015</w:t>
      </w:r>
      <w:r w:rsidR="00D94893">
        <w:t>), 7-12</w:t>
      </w:r>
      <w:r w:rsidR="00543ADA">
        <w:t>,</w:t>
      </w:r>
      <w:r w:rsidR="00B93857" w:rsidRPr="00512D7A">
        <w:t xml:space="preserve"> </w:t>
      </w:r>
      <w:hyperlink r:id="rId32" w:history="1">
        <w:r w:rsidR="00B93857" w:rsidRPr="00BC16D0">
          <w:rPr>
            <w:rStyle w:val="Hyperlink"/>
          </w:rPr>
          <w:t>https://www.occ.gov/publications-and-resources/publications/community-affairs/community-developments-investments/pub-cdi-may-2015.pdf</w:t>
        </w:r>
      </w:hyperlink>
      <w:r w:rsidR="00B93857" w:rsidRPr="00512D7A">
        <w:t>.</w:t>
      </w:r>
    </w:p>
  </w:footnote>
  <w:footnote w:id="50">
    <w:p w14:paraId="26C77722" w14:textId="02FB29C5" w:rsidR="00B93857" w:rsidRPr="00BE06D0" w:rsidRDefault="00B93857">
      <w:pPr>
        <w:pStyle w:val="FootnoteText"/>
        <w:rPr>
          <w:i/>
          <w:iCs/>
          <w:lang w:val="en-CA"/>
        </w:rPr>
      </w:pPr>
      <w:r>
        <w:rPr>
          <w:rStyle w:val="FootnoteReference"/>
        </w:rPr>
        <w:footnoteRef/>
      </w:r>
      <w:r>
        <w:t xml:space="preserve"> </w:t>
      </w:r>
      <w:r w:rsidR="004B4EAE">
        <w:t xml:space="preserve">John G. </w:t>
      </w:r>
      <w:r w:rsidR="004B4EAE" w:rsidRPr="00512D7A">
        <w:t>Markowski, “Surprise! Most Affordable Rentals Are in Small Buildings.”</w:t>
      </w:r>
    </w:p>
  </w:footnote>
  <w:footnote w:id="51">
    <w:p w14:paraId="7E7C6AA0" w14:textId="787E1A71" w:rsidR="00B93857" w:rsidRPr="00BE06D0" w:rsidRDefault="00B93857">
      <w:pPr>
        <w:pStyle w:val="FootnoteText"/>
        <w:rPr>
          <w:i/>
          <w:iCs/>
          <w:lang w:val="en-CA"/>
        </w:rPr>
      </w:pPr>
      <w:r>
        <w:rPr>
          <w:rStyle w:val="FootnoteReference"/>
        </w:rPr>
        <w:footnoteRef/>
      </w:r>
      <w:r>
        <w:t xml:space="preserve"> </w:t>
      </w:r>
      <w:r w:rsidR="004B4EAE">
        <w:t xml:space="preserve">John G. </w:t>
      </w:r>
      <w:r w:rsidR="004B4EAE" w:rsidRPr="00512D7A">
        <w:t>Markowski, “Surprise! Most Affordable Rentals Are in Small Buildings.”</w:t>
      </w:r>
    </w:p>
  </w:footnote>
  <w:footnote w:id="52">
    <w:p w14:paraId="05507014" w14:textId="61F00621" w:rsidR="00197113" w:rsidRDefault="00197113" w:rsidP="00CC3A07">
      <w:pPr>
        <w:pStyle w:val="FootnoteText"/>
      </w:pPr>
      <w:r>
        <w:rPr>
          <w:rStyle w:val="FootnoteReference"/>
        </w:rPr>
        <w:footnoteRef/>
      </w:r>
      <w:r>
        <w:t xml:space="preserve"> </w:t>
      </w:r>
      <w:r w:rsidR="008E71B4" w:rsidRPr="008E71B4">
        <w:t xml:space="preserve">David L. Mason, </w:t>
      </w:r>
      <w:r w:rsidR="00543ADA">
        <w:t>“</w:t>
      </w:r>
      <w:r w:rsidR="008E71B4" w:rsidRPr="008E71B4">
        <w:t>From Building and Loans to Bail-Outs: A History of the American Savings and Loan Industry,</w:t>
      </w:r>
      <w:r w:rsidR="007C540E">
        <w:t xml:space="preserve"> 1831-1955</w:t>
      </w:r>
      <w:r w:rsidR="00543ADA">
        <w:t>”</w:t>
      </w:r>
      <w:r w:rsidR="008E71B4" w:rsidRPr="008E71B4">
        <w:t xml:space="preserve"> (PhD dissertation, Ohio State University</w:t>
      </w:r>
      <w:r w:rsidR="00194ACF">
        <w:t>, 2001</w:t>
      </w:r>
      <w:r w:rsidR="008E71B4" w:rsidRPr="008E71B4">
        <w:t>) (ProQuest); F</w:t>
      </w:r>
      <w:r w:rsidR="00543ADA">
        <w:t>ederal</w:t>
      </w:r>
      <w:r w:rsidR="008E71B4" w:rsidRPr="008E71B4">
        <w:t xml:space="preserve"> </w:t>
      </w:r>
      <w:r w:rsidR="00543ADA">
        <w:t>Home</w:t>
      </w:r>
      <w:r w:rsidR="00543ADA" w:rsidRPr="008E71B4">
        <w:t xml:space="preserve"> </w:t>
      </w:r>
      <w:r w:rsidR="00543ADA">
        <w:t>Loan</w:t>
      </w:r>
      <w:r w:rsidR="00543ADA" w:rsidRPr="008E71B4">
        <w:t xml:space="preserve"> </w:t>
      </w:r>
      <w:r w:rsidR="00543ADA">
        <w:t>Banks</w:t>
      </w:r>
      <w:r w:rsidR="008E71B4" w:rsidRPr="008E71B4">
        <w:t xml:space="preserve">, </w:t>
      </w:r>
      <w:r w:rsidR="00543ADA">
        <w:t>“</w:t>
      </w:r>
      <w:r w:rsidR="00543ADA" w:rsidRPr="008E71B4">
        <w:t>The Federal Home Loan Bank System</w:t>
      </w:r>
      <w:r w:rsidR="00543ADA">
        <w:t>,</w:t>
      </w:r>
      <w:r w:rsidR="007C540E">
        <w:t xml:space="preserve"> </w:t>
      </w:r>
      <w:r w:rsidR="007C540E" w:rsidRPr="008E71B4">
        <w:t>1932-1952</w:t>
      </w:r>
      <w:r w:rsidR="00543ADA">
        <w:t>”</w:t>
      </w:r>
      <w:r w:rsidR="008E71B4" w:rsidRPr="008E71B4">
        <w:t xml:space="preserve"> (1952)</w:t>
      </w:r>
      <w:r w:rsidR="006867DF">
        <w:t xml:space="preserve">; </w:t>
      </w:r>
      <w:r w:rsidR="006867DF" w:rsidRPr="004636D9">
        <w:t>Letter from Ron Haynie, Senior Vice President, Hous</w:t>
      </w:r>
      <w:r w:rsidR="005F2861">
        <w:t>ing</w:t>
      </w:r>
      <w:r w:rsidR="006867DF" w:rsidRPr="004636D9">
        <w:t xml:space="preserve"> Fin</w:t>
      </w:r>
      <w:r w:rsidR="005F2861">
        <w:t>ance</w:t>
      </w:r>
      <w:r w:rsidR="006867DF" w:rsidRPr="004636D9">
        <w:t xml:space="preserve"> Pol</w:t>
      </w:r>
      <w:r w:rsidR="005F2861">
        <w:t>ic</w:t>
      </w:r>
      <w:r w:rsidR="006867DF" w:rsidRPr="004636D9">
        <w:t>y, to Sandra Thompson, Dir</w:t>
      </w:r>
      <w:r w:rsidR="005F2861">
        <w:t>ector</w:t>
      </w:r>
      <w:r w:rsidR="006867DF" w:rsidRPr="004636D9">
        <w:t>, Fed</w:t>
      </w:r>
      <w:r w:rsidR="005F2861">
        <w:t>eral</w:t>
      </w:r>
      <w:r w:rsidR="006867DF" w:rsidRPr="004636D9">
        <w:t xml:space="preserve"> Hous</w:t>
      </w:r>
      <w:r w:rsidR="005F2861">
        <w:t xml:space="preserve">ing </w:t>
      </w:r>
      <w:r w:rsidR="006867DF" w:rsidRPr="004636D9">
        <w:t>Fin</w:t>
      </w:r>
      <w:r w:rsidR="005F2861">
        <w:t xml:space="preserve">ance </w:t>
      </w:r>
      <w:r w:rsidR="006867DF" w:rsidRPr="004636D9">
        <w:t xml:space="preserve">Agency (Mar. 31, 2023), </w:t>
      </w:r>
      <w:hyperlink r:id="rId33" w:history="1">
        <w:r w:rsidR="00E13758" w:rsidRPr="00B70753">
          <w:rPr>
            <w:rStyle w:val="Hyperlink"/>
          </w:rPr>
          <w:t>https://www.icba.org/docs/default-source/icba/advocacy-documents/letters-to-regulators/comments-on-fhlbank-system-at-100-review.pdf?sfvrsn=bfef1317_0</w:t>
        </w:r>
      </w:hyperlink>
      <w:r w:rsidR="00E13758">
        <w:t xml:space="preserve">. </w:t>
      </w:r>
    </w:p>
  </w:footnote>
  <w:footnote w:id="53">
    <w:p w14:paraId="79E869A2" w14:textId="4CC94E7D" w:rsidR="0055316D" w:rsidRDefault="0055316D" w:rsidP="00CC3A07">
      <w:pPr>
        <w:pStyle w:val="FootnoteText"/>
      </w:pPr>
      <w:r>
        <w:rPr>
          <w:rStyle w:val="FootnoteReference"/>
        </w:rPr>
        <w:footnoteRef/>
      </w:r>
      <w:r>
        <w:t xml:space="preserve"> </w:t>
      </w:r>
      <w:r w:rsidR="00E967D1" w:rsidRPr="00E967D1">
        <w:t>Letter from Ron Haynie, Senior Vice President, Housing Finance Policy, to Sandra Thompson, Director, Federal Housing Finance Agency.</w:t>
      </w:r>
    </w:p>
  </w:footnote>
  <w:footnote w:id="54">
    <w:p w14:paraId="642958CC" w14:textId="54E851D0" w:rsidR="0055316D" w:rsidRDefault="0055316D" w:rsidP="00CC3A07">
      <w:pPr>
        <w:pStyle w:val="FootnoteText"/>
      </w:pPr>
      <w:r>
        <w:rPr>
          <w:rStyle w:val="FootnoteReference"/>
        </w:rPr>
        <w:footnoteRef/>
      </w:r>
      <w:r>
        <w:t xml:space="preserve"> </w:t>
      </w:r>
      <w:r w:rsidR="00005DC4">
        <w:t>Kathryn</w:t>
      </w:r>
      <w:r w:rsidR="00C27001">
        <w:t xml:space="preserve"> Judge</w:t>
      </w:r>
      <w:r w:rsidR="00005DC4">
        <w:t xml:space="preserve">. “Brandeisian Banking.” </w:t>
      </w:r>
      <w:r w:rsidR="00005DC4" w:rsidRPr="00CD7EBF">
        <w:rPr>
          <w:i/>
          <w:iCs/>
        </w:rPr>
        <w:t>The Yale Law Journal Forum</w:t>
      </w:r>
      <w:r w:rsidR="00005DC4">
        <w:t xml:space="preserve"> </w:t>
      </w:r>
      <w:r w:rsidR="006E3072">
        <w:t xml:space="preserve">133 </w:t>
      </w:r>
      <w:r w:rsidR="00005DC4">
        <w:t xml:space="preserve">(April 2024): 916. </w:t>
      </w:r>
      <w:hyperlink r:id="rId34" w:history="1">
        <w:r w:rsidR="00005DC4" w:rsidRPr="00E0299A">
          <w:rPr>
            <w:rStyle w:val="Hyperlink"/>
          </w:rPr>
          <w:t>https://scholarship.law.columbia.edu/faculty_scholarship/4440</w:t>
        </w:r>
      </w:hyperlink>
      <w:r w:rsidR="00005DC4">
        <w:t xml:space="preserve">; </w:t>
      </w:r>
      <w:r w:rsidR="00005DC4" w:rsidRPr="004F23AC">
        <w:t xml:space="preserve">Saule T. </w:t>
      </w:r>
      <w:r w:rsidR="00C27001">
        <w:t>Omarova and</w:t>
      </w:r>
      <w:r w:rsidR="00005DC4" w:rsidRPr="004F23AC">
        <w:t xml:space="preserve"> Graham S. Steele, </w:t>
      </w:r>
      <w:r w:rsidR="00C17948">
        <w:t>“</w:t>
      </w:r>
      <w:r w:rsidR="00005DC4" w:rsidRPr="004F23AC">
        <w:t>Banking and Antitrust,</w:t>
      </w:r>
      <w:r w:rsidR="00C17948">
        <w:t>”</w:t>
      </w:r>
      <w:r w:rsidR="00005DC4" w:rsidRPr="004F23AC">
        <w:t xml:space="preserve"> </w:t>
      </w:r>
      <w:r w:rsidR="00D35120" w:rsidRPr="00CD7EBF">
        <w:rPr>
          <w:i/>
          <w:iCs/>
        </w:rPr>
        <w:t xml:space="preserve">Yale </w:t>
      </w:r>
      <w:r w:rsidR="00005DC4" w:rsidRPr="00CD7EBF">
        <w:rPr>
          <w:i/>
          <w:iCs/>
        </w:rPr>
        <w:t>Law Journal</w:t>
      </w:r>
      <w:r w:rsidR="00C27001">
        <w:t xml:space="preserve"> 133</w:t>
      </w:r>
      <w:r w:rsidR="00005DC4">
        <w:t xml:space="preserve"> </w:t>
      </w:r>
      <w:r w:rsidR="00005DC4" w:rsidRPr="004F23AC">
        <w:t>(2024)</w:t>
      </w:r>
      <w:r w:rsidR="00005DC4">
        <w:t xml:space="preserve">: 1162; </w:t>
      </w:r>
      <w:r w:rsidR="00D35120">
        <w:t xml:space="preserve">Michael S. Barr, Howell E. Jackson, and Margaret E. Tahyar, </w:t>
      </w:r>
      <w:r w:rsidR="00D35120" w:rsidRPr="00CD7EBF">
        <w:rPr>
          <w:i/>
          <w:iCs/>
        </w:rPr>
        <w:t>Financial Regulation: Law And Policy</w:t>
      </w:r>
      <w:r w:rsidR="00005DC4">
        <w:t xml:space="preserve"> (3d ed.</w:t>
      </w:r>
      <w:r w:rsidR="000124A3">
        <w:t>,</w:t>
      </w:r>
      <w:r w:rsidR="00005DC4">
        <w:t xml:space="preserve"> </w:t>
      </w:r>
      <w:r w:rsidR="0037419E">
        <w:t xml:space="preserve">Foundation Press, </w:t>
      </w:r>
      <w:r w:rsidR="00005DC4">
        <w:t>2021)</w:t>
      </w:r>
      <w:r w:rsidR="000124A3">
        <w:t xml:space="preserve">, 36-41, </w:t>
      </w:r>
      <w:r w:rsidR="00005DC4">
        <w:t>746-47.</w:t>
      </w:r>
    </w:p>
  </w:footnote>
  <w:footnote w:id="55">
    <w:p w14:paraId="70972BAE" w14:textId="24EEC6CF" w:rsidR="00EC1BE5" w:rsidRDefault="008178A2" w:rsidP="00EC1BE5">
      <w:pPr>
        <w:pStyle w:val="FootnoteText"/>
      </w:pPr>
      <w:r>
        <w:rPr>
          <w:rStyle w:val="FootnoteReference"/>
        </w:rPr>
        <w:footnoteRef/>
      </w:r>
      <w:r>
        <w:t xml:space="preserve"> </w:t>
      </w:r>
      <w:r w:rsidR="00EC1BE5">
        <w:t xml:space="preserve">Mr. Justice Brandeis, </w:t>
      </w:r>
      <w:r w:rsidR="00B20344">
        <w:t>“</w:t>
      </w:r>
      <w:r w:rsidR="00EC1BE5">
        <w:t>Competition and Smallness: A Dilemma Re-Examined,</w:t>
      </w:r>
      <w:r w:rsidR="00B20344">
        <w:t>”</w:t>
      </w:r>
      <w:r w:rsidR="00EC1BE5">
        <w:t xml:space="preserve"> </w:t>
      </w:r>
      <w:r w:rsidR="00EC1BE5" w:rsidRPr="00CD7EBF">
        <w:rPr>
          <w:i/>
          <w:iCs/>
        </w:rPr>
        <w:t>Y</w:t>
      </w:r>
      <w:r w:rsidR="00AB46A1" w:rsidRPr="00CD7EBF">
        <w:rPr>
          <w:i/>
          <w:iCs/>
        </w:rPr>
        <w:t>ale</w:t>
      </w:r>
      <w:r w:rsidR="00EC1BE5" w:rsidRPr="00CD7EBF">
        <w:rPr>
          <w:i/>
          <w:iCs/>
        </w:rPr>
        <w:t xml:space="preserve"> L</w:t>
      </w:r>
      <w:r w:rsidR="00B20344" w:rsidRPr="00CD7EBF">
        <w:rPr>
          <w:i/>
          <w:iCs/>
        </w:rPr>
        <w:t>aw Journal</w:t>
      </w:r>
      <w:r w:rsidR="00EC1BE5">
        <w:t xml:space="preserve"> </w:t>
      </w:r>
      <w:r w:rsidR="00B20344">
        <w:t>66</w:t>
      </w:r>
    </w:p>
    <w:p w14:paraId="214067FF" w14:textId="21403D41" w:rsidR="008178A2" w:rsidRDefault="00EC1BE5" w:rsidP="00CC3A07">
      <w:pPr>
        <w:pStyle w:val="FootnoteText"/>
      </w:pPr>
      <w:r>
        <w:t>(1956)</w:t>
      </w:r>
      <w:r w:rsidR="00B20344">
        <w:t>: 69</w:t>
      </w:r>
      <w:r>
        <w:t xml:space="preserve">; </w:t>
      </w:r>
      <w:r w:rsidR="00B20344">
        <w:t xml:space="preserve">Matt </w:t>
      </w:r>
      <w:r w:rsidRPr="00802437">
        <w:t>Hanauer, Brent Lytle, Chris Summers, and Stephanie Ziadeh</w:t>
      </w:r>
      <w:r w:rsidR="00B20344">
        <w:t>,</w:t>
      </w:r>
      <w:r w:rsidRPr="00802437">
        <w:t xml:space="preserve"> “Community Banks’ Ongoing Role in the U.S. Economy</w:t>
      </w:r>
      <w:r w:rsidR="00B20344">
        <w:t>,</w:t>
      </w:r>
      <w:r w:rsidRPr="00802437">
        <w:t xml:space="preserve">” </w:t>
      </w:r>
      <w:r w:rsidRPr="00CD7EBF">
        <w:rPr>
          <w:i/>
          <w:iCs/>
        </w:rPr>
        <w:t>Federal Reserve Bank of Kansas City Economic Review</w:t>
      </w:r>
      <w:r w:rsidR="007B1677">
        <w:t xml:space="preserve"> </w:t>
      </w:r>
      <w:r w:rsidRPr="00802437">
        <w:t>(</w:t>
      </w:r>
      <w:r w:rsidR="007B1677">
        <w:t xml:space="preserve">Second Quarter </w:t>
      </w:r>
      <w:r w:rsidRPr="00802437">
        <w:t>2021): 37–81</w:t>
      </w:r>
      <w:r>
        <w:t>.</w:t>
      </w:r>
    </w:p>
  </w:footnote>
  <w:footnote w:id="56">
    <w:p w14:paraId="7C995665" w14:textId="1A610C34" w:rsidR="00EC1BE5" w:rsidRPr="00BE06D0" w:rsidRDefault="00EC1BE5">
      <w:pPr>
        <w:pStyle w:val="FootnoteText"/>
        <w:rPr>
          <w:lang w:val="en-CA"/>
        </w:rPr>
      </w:pPr>
      <w:r>
        <w:rPr>
          <w:rStyle w:val="FootnoteReference"/>
        </w:rPr>
        <w:footnoteRef/>
      </w:r>
      <w:r>
        <w:t xml:space="preserve"> </w:t>
      </w:r>
      <w:r w:rsidR="006905C5">
        <w:t xml:space="preserve">See, e.g., Allen N. Berger </w:t>
      </w:r>
      <w:r w:rsidR="008377C5">
        <w:t>and</w:t>
      </w:r>
      <w:r w:rsidR="006905C5">
        <w:t xml:space="preserve"> Gregory F. Udell, </w:t>
      </w:r>
      <w:r w:rsidR="00B20344">
        <w:t>“</w:t>
      </w:r>
      <w:r w:rsidR="006905C5">
        <w:t>Relationship Lending and Lines of Credit in Small Firm Finance,</w:t>
      </w:r>
      <w:r w:rsidR="00B20344">
        <w:t xml:space="preserve">” </w:t>
      </w:r>
      <w:r w:rsidR="008A2289" w:rsidRPr="00CD7EBF">
        <w:rPr>
          <w:i/>
          <w:iCs/>
        </w:rPr>
        <w:t xml:space="preserve">The </w:t>
      </w:r>
      <w:r w:rsidR="006905C5" w:rsidRPr="00CD7EBF">
        <w:rPr>
          <w:i/>
          <w:iCs/>
        </w:rPr>
        <w:t>J</w:t>
      </w:r>
      <w:r w:rsidR="008A2289" w:rsidRPr="00CD7EBF">
        <w:rPr>
          <w:i/>
          <w:iCs/>
        </w:rPr>
        <w:t>ournal of</w:t>
      </w:r>
      <w:r w:rsidR="006905C5" w:rsidRPr="00CD7EBF">
        <w:rPr>
          <w:i/>
          <w:iCs/>
        </w:rPr>
        <w:t xml:space="preserve"> </w:t>
      </w:r>
      <w:r w:rsidR="008A2289" w:rsidRPr="00CD7EBF">
        <w:rPr>
          <w:i/>
          <w:iCs/>
        </w:rPr>
        <w:t>Business</w:t>
      </w:r>
      <w:r w:rsidR="006905C5">
        <w:t xml:space="preserve"> </w:t>
      </w:r>
      <w:r w:rsidR="00B20344">
        <w:t>68</w:t>
      </w:r>
      <w:r w:rsidR="006905C5">
        <w:t xml:space="preserve"> (1995)</w:t>
      </w:r>
      <w:r w:rsidR="00B20344">
        <w:t>: 351</w:t>
      </w:r>
      <w:r w:rsidR="006905C5">
        <w:t>; Mitchell A. Petersen</w:t>
      </w:r>
      <w:r w:rsidR="00B20344">
        <w:t xml:space="preserve"> and</w:t>
      </w:r>
      <w:r w:rsidR="006905C5">
        <w:t xml:space="preserve"> Raghuram G. Rajan, </w:t>
      </w:r>
      <w:r w:rsidR="00B20344">
        <w:t>“</w:t>
      </w:r>
      <w:r w:rsidR="006905C5">
        <w:t>The Benefits of Lending Relationships: Evidence from Small Business Data,</w:t>
      </w:r>
      <w:r w:rsidR="00B20344">
        <w:t>”</w:t>
      </w:r>
      <w:r w:rsidR="006905C5">
        <w:t xml:space="preserve"> </w:t>
      </w:r>
      <w:r w:rsidR="00B36990" w:rsidRPr="00CD7EBF">
        <w:rPr>
          <w:i/>
          <w:iCs/>
        </w:rPr>
        <w:t>The Journal of Finance</w:t>
      </w:r>
      <w:r w:rsidR="00B36990">
        <w:t xml:space="preserve"> </w:t>
      </w:r>
      <w:r w:rsidR="00B20344">
        <w:t>49</w:t>
      </w:r>
      <w:r w:rsidR="006905C5">
        <w:t xml:space="preserve"> (1994)</w:t>
      </w:r>
      <w:r w:rsidR="00B20344">
        <w:t>: 3</w:t>
      </w:r>
      <w:r w:rsidR="006905C5">
        <w:t>.</w:t>
      </w:r>
    </w:p>
  </w:footnote>
  <w:footnote w:id="57">
    <w:p w14:paraId="3EE26BF7" w14:textId="05997CC4" w:rsidR="00592312" w:rsidRDefault="00592312" w:rsidP="00D407C1">
      <w:pPr>
        <w:pStyle w:val="FootnoteText"/>
      </w:pPr>
      <w:r>
        <w:rPr>
          <w:rStyle w:val="FootnoteReference"/>
        </w:rPr>
        <w:footnoteRef/>
      </w:r>
      <w:r w:rsidR="00D407C1">
        <w:t xml:space="preserve"> Federal Housing Finance Agency,</w:t>
      </w:r>
      <w:r w:rsidR="00B36990">
        <w:t xml:space="preserve"> </w:t>
      </w:r>
      <w:r w:rsidR="00D407C1" w:rsidRPr="00CD7EBF">
        <w:rPr>
          <w:i/>
          <w:iCs/>
        </w:rPr>
        <w:t>Request For Input: Federal Home Loan Bank Core Mission Activities And Mission Achievement</w:t>
      </w:r>
      <w:r w:rsidR="00B36990" w:rsidRPr="00CD7EBF">
        <w:rPr>
          <w:i/>
          <w:iCs/>
        </w:rPr>
        <w:t xml:space="preserve"> </w:t>
      </w:r>
      <w:r w:rsidR="00B36990">
        <w:t>(</w:t>
      </w:r>
      <w:r w:rsidR="009338AD">
        <w:t>2024</w:t>
      </w:r>
      <w:r w:rsidR="00B36990">
        <w:t>)</w:t>
      </w:r>
      <w:r w:rsidR="009338AD">
        <w:t xml:space="preserve">, </w:t>
      </w:r>
      <w:r w:rsidR="00D407C1">
        <w:t>7</w:t>
      </w:r>
      <w:r w:rsidR="00B36990">
        <w:t>,</w:t>
      </w:r>
      <w:r>
        <w:t xml:space="preserve"> </w:t>
      </w:r>
      <w:hyperlink r:id="rId35" w:history="1">
        <w:r w:rsidR="00261187" w:rsidRPr="00D72F18">
          <w:rPr>
            <w:rStyle w:val="Hyperlink"/>
          </w:rPr>
          <w:t>https://www.fhfa.gov/sites/default/files/2024-05/FHLBank-Mission-RFI-2024.pdf</w:t>
        </w:r>
      </w:hyperlink>
      <w:r w:rsidR="009338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0F4A" w14:textId="4F1D2A7F" w:rsidR="002A46FC" w:rsidRDefault="002A46FC">
    <w:pPr>
      <w:pStyle w:val="Header"/>
    </w:pPr>
    <w:r>
      <w:rPr>
        <w:noProof/>
      </w:rPr>
      <w:drawing>
        <wp:anchor distT="0" distB="0" distL="114300" distR="114300" simplePos="0" relativeHeight="251659264" behindDoc="0" locked="0" layoutInCell="1" allowOverlap="1" wp14:anchorId="2CF42A32" wp14:editId="3FC4A788">
          <wp:simplePos x="0" y="0"/>
          <wp:positionH relativeFrom="margin">
            <wp:posOffset>3348243</wp:posOffset>
          </wp:positionH>
          <wp:positionV relativeFrom="paragraph">
            <wp:posOffset>-146685</wp:posOffset>
          </wp:positionV>
          <wp:extent cx="3270250" cy="476250"/>
          <wp:effectExtent l="0" t="0" r="0" b="0"/>
          <wp:wrapThrough wrapText="bothSides">
            <wp:wrapPolygon edited="0">
              <wp:start x="0" y="0"/>
              <wp:lineTo x="0" y="14688"/>
              <wp:lineTo x="2768" y="20736"/>
              <wp:lineTo x="8682" y="20736"/>
              <wp:lineTo x="9437" y="20736"/>
              <wp:lineTo x="19251" y="14688"/>
              <wp:lineTo x="19503" y="6912"/>
              <wp:lineTo x="13086" y="1728"/>
              <wp:lineTo x="3901" y="0"/>
              <wp:lineTo x="0" y="0"/>
            </wp:wrapPolygon>
          </wp:wrapThrough>
          <wp:docPr id="4" name="Picture 4"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0250"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NDc1MzW2tDAyNjdX0lEKTi0uzszPAykwrAUAsxBkeiwAAAA="/>
  </w:docVars>
  <w:rsids>
    <w:rsidRoot w:val="00BC40BC"/>
    <w:rsid w:val="00000803"/>
    <w:rsid w:val="0000153F"/>
    <w:rsid w:val="0000231F"/>
    <w:rsid w:val="00005DC4"/>
    <w:rsid w:val="000124A3"/>
    <w:rsid w:val="00013466"/>
    <w:rsid w:val="00014D83"/>
    <w:rsid w:val="00032120"/>
    <w:rsid w:val="00033EB7"/>
    <w:rsid w:val="000365CF"/>
    <w:rsid w:val="0004410B"/>
    <w:rsid w:val="00045125"/>
    <w:rsid w:val="000458E9"/>
    <w:rsid w:val="00047808"/>
    <w:rsid w:val="00057D44"/>
    <w:rsid w:val="00061998"/>
    <w:rsid w:val="00063774"/>
    <w:rsid w:val="0006479F"/>
    <w:rsid w:val="00066D91"/>
    <w:rsid w:val="00073F5D"/>
    <w:rsid w:val="00086195"/>
    <w:rsid w:val="00086EED"/>
    <w:rsid w:val="000870F3"/>
    <w:rsid w:val="00094A50"/>
    <w:rsid w:val="000A583B"/>
    <w:rsid w:val="000B2A5E"/>
    <w:rsid w:val="000B48C8"/>
    <w:rsid w:val="000B5483"/>
    <w:rsid w:val="000C0E2B"/>
    <w:rsid w:val="000C7DE6"/>
    <w:rsid w:val="000E15CE"/>
    <w:rsid w:val="000E1C89"/>
    <w:rsid w:val="000F4629"/>
    <w:rsid w:val="000F4E5A"/>
    <w:rsid w:val="000F7DEB"/>
    <w:rsid w:val="001035D6"/>
    <w:rsid w:val="00104BC1"/>
    <w:rsid w:val="001167E7"/>
    <w:rsid w:val="001247F3"/>
    <w:rsid w:val="00124CB1"/>
    <w:rsid w:val="00125D1F"/>
    <w:rsid w:val="0013586A"/>
    <w:rsid w:val="0015058E"/>
    <w:rsid w:val="00153C23"/>
    <w:rsid w:val="0015591B"/>
    <w:rsid w:val="00161DAF"/>
    <w:rsid w:val="00174CAA"/>
    <w:rsid w:val="00184AAE"/>
    <w:rsid w:val="001859E5"/>
    <w:rsid w:val="00193433"/>
    <w:rsid w:val="00194ACF"/>
    <w:rsid w:val="00195DE3"/>
    <w:rsid w:val="00197113"/>
    <w:rsid w:val="001A1DDF"/>
    <w:rsid w:val="001A4F0B"/>
    <w:rsid w:val="001A6517"/>
    <w:rsid w:val="001B0681"/>
    <w:rsid w:val="001B4B2B"/>
    <w:rsid w:val="001D0B20"/>
    <w:rsid w:val="001D3559"/>
    <w:rsid w:val="001E25C1"/>
    <w:rsid w:val="001E6FCA"/>
    <w:rsid w:val="001F45F6"/>
    <w:rsid w:val="001F47C7"/>
    <w:rsid w:val="001F5CF3"/>
    <w:rsid w:val="00203D24"/>
    <w:rsid w:val="0020686A"/>
    <w:rsid w:val="002110B3"/>
    <w:rsid w:val="00213803"/>
    <w:rsid w:val="0021395F"/>
    <w:rsid w:val="0021500F"/>
    <w:rsid w:val="00234E35"/>
    <w:rsid w:val="00236A33"/>
    <w:rsid w:val="00237B71"/>
    <w:rsid w:val="0025466F"/>
    <w:rsid w:val="00261046"/>
    <w:rsid w:val="00261187"/>
    <w:rsid w:val="00263ED8"/>
    <w:rsid w:val="00273E95"/>
    <w:rsid w:val="00283257"/>
    <w:rsid w:val="00284364"/>
    <w:rsid w:val="002911D7"/>
    <w:rsid w:val="00291532"/>
    <w:rsid w:val="002A46FC"/>
    <w:rsid w:val="002B0B51"/>
    <w:rsid w:val="002B15AA"/>
    <w:rsid w:val="002C58BB"/>
    <w:rsid w:val="002C7017"/>
    <w:rsid w:val="002D0BBF"/>
    <w:rsid w:val="002D3C9A"/>
    <w:rsid w:val="002D4BE0"/>
    <w:rsid w:val="002D57A1"/>
    <w:rsid w:val="002E3AC9"/>
    <w:rsid w:val="002E50BE"/>
    <w:rsid w:val="002F41C9"/>
    <w:rsid w:val="003024B4"/>
    <w:rsid w:val="0030316C"/>
    <w:rsid w:val="003130BB"/>
    <w:rsid w:val="003138B4"/>
    <w:rsid w:val="00314953"/>
    <w:rsid w:val="00316C7E"/>
    <w:rsid w:val="00322CFE"/>
    <w:rsid w:val="00323DA7"/>
    <w:rsid w:val="00324D7B"/>
    <w:rsid w:val="003343CF"/>
    <w:rsid w:val="00335489"/>
    <w:rsid w:val="0034196A"/>
    <w:rsid w:val="003422D2"/>
    <w:rsid w:val="003423E0"/>
    <w:rsid w:val="0034374E"/>
    <w:rsid w:val="00353057"/>
    <w:rsid w:val="003534BA"/>
    <w:rsid w:val="00353A0A"/>
    <w:rsid w:val="003622F3"/>
    <w:rsid w:val="003633A2"/>
    <w:rsid w:val="0037419E"/>
    <w:rsid w:val="00374463"/>
    <w:rsid w:val="00374A52"/>
    <w:rsid w:val="00377402"/>
    <w:rsid w:val="003804F7"/>
    <w:rsid w:val="00382CEC"/>
    <w:rsid w:val="0038384E"/>
    <w:rsid w:val="00395F6C"/>
    <w:rsid w:val="003A39C8"/>
    <w:rsid w:val="003A7781"/>
    <w:rsid w:val="003C01DC"/>
    <w:rsid w:val="003C1177"/>
    <w:rsid w:val="003C2AA4"/>
    <w:rsid w:val="003D7079"/>
    <w:rsid w:val="003D7ECF"/>
    <w:rsid w:val="003E25F3"/>
    <w:rsid w:val="003E3226"/>
    <w:rsid w:val="003E741A"/>
    <w:rsid w:val="003F3BD5"/>
    <w:rsid w:val="004033CB"/>
    <w:rsid w:val="00403713"/>
    <w:rsid w:val="00406992"/>
    <w:rsid w:val="00410AC1"/>
    <w:rsid w:val="00414148"/>
    <w:rsid w:val="00421CA7"/>
    <w:rsid w:val="004250BC"/>
    <w:rsid w:val="00432F5E"/>
    <w:rsid w:val="004414F3"/>
    <w:rsid w:val="0044266D"/>
    <w:rsid w:val="00443F61"/>
    <w:rsid w:val="0045705A"/>
    <w:rsid w:val="00457D2D"/>
    <w:rsid w:val="004611C5"/>
    <w:rsid w:val="004636D9"/>
    <w:rsid w:val="0046376A"/>
    <w:rsid w:val="00470164"/>
    <w:rsid w:val="00470179"/>
    <w:rsid w:val="00470B05"/>
    <w:rsid w:val="00492318"/>
    <w:rsid w:val="00496753"/>
    <w:rsid w:val="00497905"/>
    <w:rsid w:val="004A1398"/>
    <w:rsid w:val="004A28FB"/>
    <w:rsid w:val="004B4EAE"/>
    <w:rsid w:val="004C1390"/>
    <w:rsid w:val="004C24F3"/>
    <w:rsid w:val="004D14D9"/>
    <w:rsid w:val="004E46D6"/>
    <w:rsid w:val="0050328F"/>
    <w:rsid w:val="00510BD0"/>
    <w:rsid w:val="005174E7"/>
    <w:rsid w:val="00524133"/>
    <w:rsid w:val="005244C8"/>
    <w:rsid w:val="00531AC2"/>
    <w:rsid w:val="0054020C"/>
    <w:rsid w:val="00543ADA"/>
    <w:rsid w:val="0054463B"/>
    <w:rsid w:val="0055316D"/>
    <w:rsid w:val="0055699B"/>
    <w:rsid w:val="005627B7"/>
    <w:rsid w:val="00564D9C"/>
    <w:rsid w:val="00566D5D"/>
    <w:rsid w:val="00571103"/>
    <w:rsid w:val="00587CAE"/>
    <w:rsid w:val="00592312"/>
    <w:rsid w:val="00594499"/>
    <w:rsid w:val="00594C54"/>
    <w:rsid w:val="00595BD3"/>
    <w:rsid w:val="005B347F"/>
    <w:rsid w:val="005C2F62"/>
    <w:rsid w:val="005C606E"/>
    <w:rsid w:val="005D09B6"/>
    <w:rsid w:val="005E2CB1"/>
    <w:rsid w:val="005E2D10"/>
    <w:rsid w:val="005E5F99"/>
    <w:rsid w:val="005F1842"/>
    <w:rsid w:val="005F2861"/>
    <w:rsid w:val="00600720"/>
    <w:rsid w:val="006237DF"/>
    <w:rsid w:val="00633B64"/>
    <w:rsid w:val="00643C90"/>
    <w:rsid w:val="00643F97"/>
    <w:rsid w:val="00644E37"/>
    <w:rsid w:val="00651B7E"/>
    <w:rsid w:val="00652C20"/>
    <w:rsid w:val="00657B69"/>
    <w:rsid w:val="00657ECC"/>
    <w:rsid w:val="00666C08"/>
    <w:rsid w:val="00671586"/>
    <w:rsid w:val="00671E79"/>
    <w:rsid w:val="0067773E"/>
    <w:rsid w:val="00680562"/>
    <w:rsid w:val="006867DF"/>
    <w:rsid w:val="006905C5"/>
    <w:rsid w:val="00690FAF"/>
    <w:rsid w:val="006A2FCB"/>
    <w:rsid w:val="006B2FDE"/>
    <w:rsid w:val="006B6885"/>
    <w:rsid w:val="006C22FD"/>
    <w:rsid w:val="006C60D4"/>
    <w:rsid w:val="006D25FF"/>
    <w:rsid w:val="006D5F8E"/>
    <w:rsid w:val="006D7AC7"/>
    <w:rsid w:val="006E3072"/>
    <w:rsid w:val="006F09C4"/>
    <w:rsid w:val="006F4FD4"/>
    <w:rsid w:val="006F53A2"/>
    <w:rsid w:val="006F76E8"/>
    <w:rsid w:val="00702F4C"/>
    <w:rsid w:val="00710472"/>
    <w:rsid w:val="00714343"/>
    <w:rsid w:val="007206EB"/>
    <w:rsid w:val="00725873"/>
    <w:rsid w:val="00725E9D"/>
    <w:rsid w:val="00726115"/>
    <w:rsid w:val="007263C3"/>
    <w:rsid w:val="00736441"/>
    <w:rsid w:val="007414D0"/>
    <w:rsid w:val="007434E1"/>
    <w:rsid w:val="00750670"/>
    <w:rsid w:val="0075493E"/>
    <w:rsid w:val="00756391"/>
    <w:rsid w:val="00757558"/>
    <w:rsid w:val="00763F91"/>
    <w:rsid w:val="00765F2E"/>
    <w:rsid w:val="007765B8"/>
    <w:rsid w:val="007913CA"/>
    <w:rsid w:val="00791E3D"/>
    <w:rsid w:val="007947CE"/>
    <w:rsid w:val="00796E0D"/>
    <w:rsid w:val="007A442A"/>
    <w:rsid w:val="007B1677"/>
    <w:rsid w:val="007B1A21"/>
    <w:rsid w:val="007C08DC"/>
    <w:rsid w:val="007C51E8"/>
    <w:rsid w:val="007C540E"/>
    <w:rsid w:val="007C7A8E"/>
    <w:rsid w:val="007D22EE"/>
    <w:rsid w:val="007D78DD"/>
    <w:rsid w:val="007E234F"/>
    <w:rsid w:val="007F3858"/>
    <w:rsid w:val="007F4D86"/>
    <w:rsid w:val="007F7F78"/>
    <w:rsid w:val="00801259"/>
    <w:rsid w:val="00812044"/>
    <w:rsid w:val="008178A2"/>
    <w:rsid w:val="008212CB"/>
    <w:rsid w:val="008255CA"/>
    <w:rsid w:val="00831A0B"/>
    <w:rsid w:val="0083289E"/>
    <w:rsid w:val="008342EA"/>
    <w:rsid w:val="008377C5"/>
    <w:rsid w:val="008450A2"/>
    <w:rsid w:val="00850385"/>
    <w:rsid w:val="00852145"/>
    <w:rsid w:val="00870992"/>
    <w:rsid w:val="0087134B"/>
    <w:rsid w:val="008719C6"/>
    <w:rsid w:val="00872F5B"/>
    <w:rsid w:val="0088386A"/>
    <w:rsid w:val="00894675"/>
    <w:rsid w:val="0089732F"/>
    <w:rsid w:val="008A2289"/>
    <w:rsid w:val="008A2CE6"/>
    <w:rsid w:val="008A319C"/>
    <w:rsid w:val="008A71F8"/>
    <w:rsid w:val="008B159B"/>
    <w:rsid w:val="008B46E5"/>
    <w:rsid w:val="008B5DCD"/>
    <w:rsid w:val="008B5FBE"/>
    <w:rsid w:val="008D1090"/>
    <w:rsid w:val="008D226C"/>
    <w:rsid w:val="008D6448"/>
    <w:rsid w:val="008E10DF"/>
    <w:rsid w:val="008E130F"/>
    <w:rsid w:val="008E29B2"/>
    <w:rsid w:val="008E5D7D"/>
    <w:rsid w:val="008E71B4"/>
    <w:rsid w:val="008F0DDA"/>
    <w:rsid w:val="008F52FF"/>
    <w:rsid w:val="00902EE7"/>
    <w:rsid w:val="009040B7"/>
    <w:rsid w:val="00906A7D"/>
    <w:rsid w:val="009116D0"/>
    <w:rsid w:val="00914032"/>
    <w:rsid w:val="00923856"/>
    <w:rsid w:val="009321A3"/>
    <w:rsid w:val="009338AD"/>
    <w:rsid w:val="00940A21"/>
    <w:rsid w:val="00942DA9"/>
    <w:rsid w:val="00944154"/>
    <w:rsid w:val="0094686F"/>
    <w:rsid w:val="00954434"/>
    <w:rsid w:val="00954DA2"/>
    <w:rsid w:val="00956785"/>
    <w:rsid w:val="0096254C"/>
    <w:rsid w:val="00973D03"/>
    <w:rsid w:val="009768AD"/>
    <w:rsid w:val="00980194"/>
    <w:rsid w:val="009865EB"/>
    <w:rsid w:val="00995B8F"/>
    <w:rsid w:val="009A7F1C"/>
    <w:rsid w:val="009B2C3D"/>
    <w:rsid w:val="009D00EA"/>
    <w:rsid w:val="009D3D18"/>
    <w:rsid w:val="009D6104"/>
    <w:rsid w:val="009D7F1B"/>
    <w:rsid w:val="009E33F4"/>
    <w:rsid w:val="009E5CBD"/>
    <w:rsid w:val="009E68CA"/>
    <w:rsid w:val="009E78F5"/>
    <w:rsid w:val="009F0732"/>
    <w:rsid w:val="009F4895"/>
    <w:rsid w:val="009F5B03"/>
    <w:rsid w:val="009F6357"/>
    <w:rsid w:val="009F7E7A"/>
    <w:rsid w:val="00A036BC"/>
    <w:rsid w:val="00A055DF"/>
    <w:rsid w:val="00A124DF"/>
    <w:rsid w:val="00A25982"/>
    <w:rsid w:val="00A25AE4"/>
    <w:rsid w:val="00A25C79"/>
    <w:rsid w:val="00A31295"/>
    <w:rsid w:val="00A635A5"/>
    <w:rsid w:val="00A82AD8"/>
    <w:rsid w:val="00A845C2"/>
    <w:rsid w:val="00A879FE"/>
    <w:rsid w:val="00A87DC0"/>
    <w:rsid w:val="00A9674A"/>
    <w:rsid w:val="00A97DFC"/>
    <w:rsid w:val="00AB46A1"/>
    <w:rsid w:val="00AB586B"/>
    <w:rsid w:val="00AC03C4"/>
    <w:rsid w:val="00AC0C5E"/>
    <w:rsid w:val="00AC29A6"/>
    <w:rsid w:val="00AC38B7"/>
    <w:rsid w:val="00AC7C54"/>
    <w:rsid w:val="00AD6EBA"/>
    <w:rsid w:val="00AE31A0"/>
    <w:rsid w:val="00AF0097"/>
    <w:rsid w:val="00AF1883"/>
    <w:rsid w:val="00AF7170"/>
    <w:rsid w:val="00AF767C"/>
    <w:rsid w:val="00B0050E"/>
    <w:rsid w:val="00B00AC9"/>
    <w:rsid w:val="00B015E4"/>
    <w:rsid w:val="00B106B2"/>
    <w:rsid w:val="00B12CF2"/>
    <w:rsid w:val="00B20344"/>
    <w:rsid w:val="00B21739"/>
    <w:rsid w:val="00B23B99"/>
    <w:rsid w:val="00B253B8"/>
    <w:rsid w:val="00B27EE3"/>
    <w:rsid w:val="00B33E9B"/>
    <w:rsid w:val="00B34C0C"/>
    <w:rsid w:val="00B35B35"/>
    <w:rsid w:val="00B36990"/>
    <w:rsid w:val="00B41EC8"/>
    <w:rsid w:val="00B50357"/>
    <w:rsid w:val="00B50D56"/>
    <w:rsid w:val="00B57D8A"/>
    <w:rsid w:val="00B6702D"/>
    <w:rsid w:val="00B71585"/>
    <w:rsid w:val="00B71F6A"/>
    <w:rsid w:val="00B81723"/>
    <w:rsid w:val="00B83404"/>
    <w:rsid w:val="00B93857"/>
    <w:rsid w:val="00BA29D7"/>
    <w:rsid w:val="00BA561C"/>
    <w:rsid w:val="00BA62E1"/>
    <w:rsid w:val="00BB784C"/>
    <w:rsid w:val="00BC16D0"/>
    <w:rsid w:val="00BC40BC"/>
    <w:rsid w:val="00BC541F"/>
    <w:rsid w:val="00BD2377"/>
    <w:rsid w:val="00BD57FE"/>
    <w:rsid w:val="00BD58E3"/>
    <w:rsid w:val="00BE06D0"/>
    <w:rsid w:val="00BF2EE0"/>
    <w:rsid w:val="00C01636"/>
    <w:rsid w:val="00C117DA"/>
    <w:rsid w:val="00C169F5"/>
    <w:rsid w:val="00C17948"/>
    <w:rsid w:val="00C27001"/>
    <w:rsid w:val="00C30D0B"/>
    <w:rsid w:val="00C3125D"/>
    <w:rsid w:val="00C37226"/>
    <w:rsid w:val="00C408FB"/>
    <w:rsid w:val="00C52889"/>
    <w:rsid w:val="00C56038"/>
    <w:rsid w:val="00C6291A"/>
    <w:rsid w:val="00C64711"/>
    <w:rsid w:val="00C66624"/>
    <w:rsid w:val="00C717DC"/>
    <w:rsid w:val="00C749D6"/>
    <w:rsid w:val="00C76E5A"/>
    <w:rsid w:val="00C77C3A"/>
    <w:rsid w:val="00C84DC7"/>
    <w:rsid w:val="00C92EE2"/>
    <w:rsid w:val="00CA779C"/>
    <w:rsid w:val="00CB6112"/>
    <w:rsid w:val="00CC3A07"/>
    <w:rsid w:val="00CD02E2"/>
    <w:rsid w:val="00CD1B86"/>
    <w:rsid w:val="00CD285E"/>
    <w:rsid w:val="00CD4068"/>
    <w:rsid w:val="00CD70B0"/>
    <w:rsid w:val="00CD73A3"/>
    <w:rsid w:val="00CD7EBF"/>
    <w:rsid w:val="00CE2F32"/>
    <w:rsid w:val="00CE4F6A"/>
    <w:rsid w:val="00CE6619"/>
    <w:rsid w:val="00CE6D09"/>
    <w:rsid w:val="00CF3C97"/>
    <w:rsid w:val="00CF5E62"/>
    <w:rsid w:val="00CF748A"/>
    <w:rsid w:val="00D044F7"/>
    <w:rsid w:val="00D06A71"/>
    <w:rsid w:val="00D071F8"/>
    <w:rsid w:val="00D124F9"/>
    <w:rsid w:val="00D12CCF"/>
    <w:rsid w:val="00D24F6F"/>
    <w:rsid w:val="00D3054F"/>
    <w:rsid w:val="00D3407C"/>
    <w:rsid w:val="00D3476D"/>
    <w:rsid w:val="00D35120"/>
    <w:rsid w:val="00D37DC5"/>
    <w:rsid w:val="00D404D0"/>
    <w:rsid w:val="00D407C1"/>
    <w:rsid w:val="00D44AA4"/>
    <w:rsid w:val="00D45F2B"/>
    <w:rsid w:val="00D46267"/>
    <w:rsid w:val="00D475F7"/>
    <w:rsid w:val="00D57375"/>
    <w:rsid w:val="00D57CB6"/>
    <w:rsid w:val="00D712A1"/>
    <w:rsid w:val="00D744C0"/>
    <w:rsid w:val="00D7591E"/>
    <w:rsid w:val="00D76058"/>
    <w:rsid w:val="00D76DBA"/>
    <w:rsid w:val="00D87BD1"/>
    <w:rsid w:val="00D906AF"/>
    <w:rsid w:val="00D91B52"/>
    <w:rsid w:val="00D932C8"/>
    <w:rsid w:val="00D94893"/>
    <w:rsid w:val="00D94A8C"/>
    <w:rsid w:val="00D96047"/>
    <w:rsid w:val="00DA0BF8"/>
    <w:rsid w:val="00DA546A"/>
    <w:rsid w:val="00DA77E4"/>
    <w:rsid w:val="00DC1C6C"/>
    <w:rsid w:val="00DC411C"/>
    <w:rsid w:val="00DD7CA9"/>
    <w:rsid w:val="00DE118D"/>
    <w:rsid w:val="00DE385C"/>
    <w:rsid w:val="00DF03E4"/>
    <w:rsid w:val="00DF0659"/>
    <w:rsid w:val="00E0299A"/>
    <w:rsid w:val="00E052AF"/>
    <w:rsid w:val="00E07B9F"/>
    <w:rsid w:val="00E07E4D"/>
    <w:rsid w:val="00E13758"/>
    <w:rsid w:val="00E22F74"/>
    <w:rsid w:val="00E27724"/>
    <w:rsid w:val="00E33A93"/>
    <w:rsid w:val="00E41BCE"/>
    <w:rsid w:val="00E41F8E"/>
    <w:rsid w:val="00E43995"/>
    <w:rsid w:val="00E44BF8"/>
    <w:rsid w:val="00E46277"/>
    <w:rsid w:val="00E60620"/>
    <w:rsid w:val="00E64792"/>
    <w:rsid w:val="00E67D83"/>
    <w:rsid w:val="00E71463"/>
    <w:rsid w:val="00E72D63"/>
    <w:rsid w:val="00E7487D"/>
    <w:rsid w:val="00E74B29"/>
    <w:rsid w:val="00E75C00"/>
    <w:rsid w:val="00E7602B"/>
    <w:rsid w:val="00E76D54"/>
    <w:rsid w:val="00E7741B"/>
    <w:rsid w:val="00E85F39"/>
    <w:rsid w:val="00E86AA4"/>
    <w:rsid w:val="00E967D1"/>
    <w:rsid w:val="00E972A0"/>
    <w:rsid w:val="00EB006B"/>
    <w:rsid w:val="00EB4570"/>
    <w:rsid w:val="00EB53DD"/>
    <w:rsid w:val="00EC1BE5"/>
    <w:rsid w:val="00EC35F0"/>
    <w:rsid w:val="00ED61B5"/>
    <w:rsid w:val="00EE4F24"/>
    <w:rsid w:val="00EE73E3"/>
    <w:rsid w:val="00EF0BA1"/>
    <w:rsid w:val="00EF27A7"/>
    <w:rsid w:val="00EF34BF"/>
    <w:rsid w:val="00EF409F"/>
    <w:rsid w:val="00F10C3A"/>
    <w:rsid w:val="00F16C78"/>
    <w:rsid w:val="00F17DDA"/>
    <w:rsid w:val="00F217B2"/>
    <w:rsid w:val="00F21F8C"/>
    <w:rsid w:val="00F31016"/>
    <w:rsid w:val="00F32742"/>
    <w:rsid w:val="00F338DF"/>
    <w:rsid w:val="00F34FA7"/>
    <w:rsid w:val="00F44DCC"/>
    <w:rsid w:val="00F7238A"/>
    <w:rsid w:val="00F77396"/>
    <w:rsid w:val="00F84BEF"/>
    <w:rsid w:val="00F86999"/>
    <w:rsid w:val="00FA64A5"/>
    <w:rsid w:val="00FA6ADA"/>
    <w:rsid w:val="00FB20D0"/>
    <w:rsid w:val="00FB3409"/>
    <w:rsid w:val="00FB713C"/>
    <w:rsid w:val="00FC6310"/>
    <w:rsid w:val="00FE1EE7"/>
    <w:rsid w:val="00FE2341"/>
    <w:rsid w:val="00FE48B2"/>
    <w:rsid w:val="00FF381E"/>
    <w:rsid w:val="00FF40A7"/>
    <w:rsid w:val="00FF4A4B"/>
    <w:rsid w:val="00FF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0D34"/>
  <w15:chartTrackingRefBased/>
  <w15:docId w15:val="{354D4184-1122-F040-BE93-A6549E03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3A07"/>
    <w:rPr>
      <w:rFonts w:ascii="Baskerville" w:hAnsi="Baskerville" w:cs="Times New Roman"/>
      <w:sz w:val="20"/>
      <w:szCs w:val="20"/>
    </w:rPr>
  </w:style>
  <w:style w:type="character" w:customStyle="1" w:styleId="FootnoteTextChar">
    <w:name w:val="Footnote Text Char"/>
    <w:basedOn w:val="DefaultParagraphFont"/>
    <w:link w:val="FootnoteText"/>
    <w:uiPriority w:val="99"/>
    <w:rsid w:val="00CC3A07"/>
    <w:rPr>
      <w:rFonts w:ascii="Baskerville" w:hAnsi="Baskerville" w:cs="Times New Roman"/>
      <w:sz w:val="20"/>
      <w:szCs w:val="20"/>
    </w:rPr>
  </w:style>
  <w:style w:type="character" w:styleId="FootnoteReference">
    <w:name w:val="footnote reference"/>
    <w:basedOn w:val="DefaultParagraphFont"/>
    <w:uiPriority w:val="99"/>
    <w:unhideWhenUsed/>
    <w:rsid w:val="00CC3A07"/>
    <w:rPr>
      <w:rFonts w:ascii="Baskerville" w:hAnsi="Baskerville"/>
      <w:vertAlign w:val="superscript"/>
    </w:rPr>
  </w:style>
  <w:style w:type="character" w:styleId="Hyperlink">
    <w:name w:val="Hyperlink"/>
    <w:basedOn w:val="DefaultParagraphFont"/>
    <w:uiPriority w:val="99"/>
    <w:unhideWhenUsed/>
    <w:rsid w:val="002D4BE0"/>
    <w:rPr>
      <w:color w:val="0563C1" w:themeColor="hyperlink"/>
      <w:u w:val="single"/>
    </w:rPr>
  </w:style>
  <w:style w:type="paragraph" w:styleId="EndnoteText">
    <w:name w:val="endnote text"/>
    <w:basedOn w:val="Normal"/>
    <w:link w:val="EndnoteTextChar"/>
    <w:uiPriority w:val="99"/>
    <w:semiHidden/>
    <w:unhideWhenUsed/>
    <w:rsid w:val="00BD58E3"/>
    <w:rPr>
      <w:sz w:val="20"/>
      <w:szCs w:val="20"/>
    </w:rPr>
  </w:style>
  <w:style w:type="character" w:customStyle="1" w:styleId="EndnoteTextChar">
    <w:name w:val="Endnote Text Char"/>
    <w:basedOn w:val="DefaultParagraphFont"/>
    <w:link w:val="EndnoteText"/>
    <w:uiPriority w:val="99"/>
    <w:semiHidden/>
    <w:rsid w:val="00BD58E3"/>
    <w:rPr>
      <w:sz w:val="20"/>
      <w:szCs w:val="20"/>
    </w:rPr>
  </w:style>
  <w:style w:type="character" w:styleId="EndnoteReference">
    <w:name w:val="endnote reference"/>
    <w:basedOn w:val="DefaultParagraphFont"/>
    <w:uiPriority w:val="99"/>
    <w:semiHidden/>
    <w:unhideWhenUsed/>
    <w:rsid w:val="00BD58E3"/>
    <w:rPr>
      <w:vertAlign w:val="superscript"/>
    </w:rPr>
  </w:style>
  <w:style w:type="paragraph" w:styleId="Revision">
    <w:name w:val="Revision"/>
    <w:hidden/>
    <w:uiPriority w:val="99"/>
    <w:semiHidden/>
    <w:rsid w:val="00F17DDA"/>
  </w:style>
  <w:style w:type="character" w:styleId="CommentReference">
    <w:name w:val="annotation reference"/>
    <w:basedOn w:val="DefaultParagraphFont"/>
    <w:uiPriority w:val="99"/>
    <w:semiHidden/>
    <w:unhideWhenUsed/>
    <w:rsid w:val="000C7DE6"/>
    <w:rPr>
      <w:sz w:val="16"/>
      <w:szCs w:val="16"/>
    </w:rPr>
  </w:style>
  <w:style w:type="paragraph" w:styleId="CommentText">
    <w:name w:val="annotation text"/>
    <w:basedOn w:val="Normal"/>
    <w:link w:val="CommentTextChar"/>
    <w:uiPriority w:val="99"/>
    <w:unhideWhenUsed/>
    <w:rsid w:val="000C7DE6"/>
    <w:rPr>
      <w:sz w:val="20"/>
      <w:szCs w:val="20"/>
    </w:rPr>
  </w:style>
  <w:style w:type="character" w:customStyle="1" w:styleId="CommentTextChar">
    <w:name w:val="Comment Text Char"/>
    <w:basedOn w:val="DefaultParagraphFont"/>
    <w:link w:val="CommentText"/>
    <w:uiPriority w:val="99"/>
    <w:rsid w:val="000C7DE6"/>
    <w:rPr>
      <w:sz w:val="20"/>
      <w:szCs w:val="20"/>
    </w:rPr>
  </w:style>
  <w:style w:type="paragraph" w:styleId="CommentSubject">
    <w:name w:val="annotation subject"/>
    <w:basedOn w:val="CommentText"/>
    <w:next w:val="CommentText"/>
    <w:link w:val="CommentSubjectChar"/>
    <w:uiPriority w:val="99"/>
    <w:semiHidden/>
    <w:unhideWhenUsed/>
    <w:rsid w:val="000C7DE6"/>
    <w:rPr>
      <w:b/>
      <w:bCs/>
    </w:rPr>
  </w:style>
  <w:style w:type="character" w:customStyle="1" w:styleId="CommentSubjectChar">
    <w:name w:val="Comment Subject Char"/>
    <w:basedOn w:val="CommentTextChar"/>
    <w:link w:val="CommentSubject"/>
    <w:uiPriority w:val="99"/>
    <w:semiHidden/>
    <w:rsid w:val="000C7DE6"/>
    <w:rPr>
      <w:b/>
      <w:bCs/>
      <w:sz w:val="20"/>
      <w:szCs w:val="20"/>
    </w:rPr>
  </w:style>
  <w:style w:type="character" w:styleId="UnresolvedMention">
    <w:name w:val="Unresolved Mention"/>
    <w:basedOn w:val="DefaultParagraphFont"/>
    <w:uiPriority w:val="99"/>
    <w:semiHidden/>
    <w:unhideWhenUsed/>
    <w:rsid w:val="006F4FD4"/>
    <w:rPr>
      <w:color w:val="605E5C"/>
      <w:shd w:val="clear" w:color="auto" w:fill="E1DFDD"/>
    </w:rPr>
  </w:style>
  <w:style w:type="character" w:styleId="FollowedHyperlink">
    <w:name w:val="FollowedHyperlink"/>
    <w:basedOn w:val="DefaultParagraphFont"/>
    <w:uiPriority w:val="99"/>
    <w:semiHidden/>
    <w:unhideWhenUsed/>
    <w:rsid w:val="00D12CCF"/>
    <w:rPr>
      <w:color w:val="954F72" w:themeColor="followedHyperlink"/>
      <w:u w:val="single"/>
    </w:rPr>
  </w:style>
  <w:style w:type="paragraph" w:styleId="Header">
    <w:name w:val="header"/>
    <w:basedOn w:val="Normal"/>
    <w:link w:val="HeaderChar"/>
    <w:uiPriority w:val="99"/>
    <w:unhideWhenUsed/>
    <w:rsid w:val="002A46FC"/>
    <w:pPr>
      <w:tabs>
        <w:tab w:val="center" w:pos="4680"/>
        <w:tab w:val="right" w:pos="9360"/>
      </w:tabs>
    </w:pPr>
  </w:style>
  <w:style w:type="character" w:customStyle="1" w:styleId="HeaderChar">
    <w:name w:val="Header Char"/>
    <w:basedOn w:val="DefaultParagraphFont"/>
    <w:link w:val="Header"/>
    <w:uiPriority w:val="99"/>
    <w:rsid w:val="002A46FC"/>
  </w:style>
  <w:style w:type="paragraph" w:styleId="Footer">
    <w:name w:val="footer"/>
    <w:basedOn w:val="Normal"/>
    <w:link w:val="FooterChar"/>
    <w:uiPriority w:val="99"/>
    <w:unhideWhenUsed/>
    <w:rsid w:val="002A46FC"/>
    <w:pPr>
      <w:tabs>
        <w:tab w:val="center" w:pos="4680"/>
        <w:tab w:val="right" w:pos="9360"/>
      </w:tabs>
    </w:pPr>
  </w:style>
  <w:style w:type="character" w:customStyle="1" w:styleId="FooterChar">
    <w:name w:val="Footer Char"/>
    <w:basedOn w:val="DefaultParagraphFont"/>
    <w:link w:val="Footer"/>
    <w:uiPriority w:val="99"/>
    <w:rsid w:val="002A4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877">
      <w:bodyDiv w:val="1"/>
      <w:marLeft w:val="0"/>
      <w:marRight w:val="0"/>
      <w:marTop w:val="0"/>
      <w:marBottom w:val="0"/>
      <w:divBdr>
        <w:top w:val="none" w:sz="0" w:space="0" w:color="auto"/>
        <w:left w:val="none" w:sz="0" w:space="0" w:color="auto"/>
        <w:bottom w:val="none" w:sz="0" w:space="0" w:color="auto"/>
        <w:right w:val="none" w:sz="0" w:space="0" w:color="auto"/>
      </w:divBdr>
    </w:div>
    <w:div w:id="81293231">
      <w:bodyDiv w:val="1"/>
      <w:marLeft w:val="0"/>
      <w:marRight w:val="0"/>
      <w:marTop w:val="0"/>
      <w:marBottom w:val="0"/>
      <w:divBdr>
        <w:top w:val="none" w:sz="0" w:space="0" w:color="auto"/>
        <w:left w:val="none" w:sz="0" w:space="0" w:color="auto"/>
        <w:bottom w:val="none" w:sz="0" w:space="0" w:color="auto"/>
        <w:right w:val="none" w:sz="0" w:space="0" w:color="auto"/>
      </w:divBdr>
      <w:divsChild>
        <w:div w:id="770125260">
          <w:marLeft w:val="0"/>
          <w:marRight w:val="0"/>
          <w:marTop w:val="0"/>
          <w:marBottom w:val="0"/>
          <w:divBdr>
            <w:top w:val="none" w:sz="0" w:space="0" w:color="auto"/>
            <w:left w:val="none" w:sz="0" w:space="0" w:color="auto"/>
            <w:bottom w:val="none" w:sz="0" w:space="0" w:color="auto"/>
            <w:right w:val="none" w:sz="0" w:space="0" w:color="auto"/>
          </w:divBdr>
          <w:divsChild>
            <w:div w:id="1273704866">
              <w:marLeft w:val="0"/>
              <w:marRight w:val="0"/>
              <w:marTop w:val="0"/>
              <w:marBottom w:val="0"/>
              <w:divBdr>
                <w:top w:val="none" w:sz="0" w:space="0" w:color="auto"/>
                <w:left w:val="none" w:sz="0" w:space="0" w:color="auto"/>
                <w:bottom w:val="none" w:sz="0" w:space="0" w:color="auto"/>
                <w:right w:val="none" w:sz="0" w:space="0" w:color="auto"/>
              </w:divBdr>
              <w:divsChild>
                <w:div w:id="855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6335">
      <w:bodyDiv w:val="1"/>
      <w:marLeft w:val="0"/>
      <w:marRight w:val="0"/>
      <w:marTop w:val="0"/>
      <w:marBottom w:val="0"/>
      <w:divBdr>
        <w:top w:val="none" w:sz="0" w:space="0" w:color="auto"/>
        <w:left w:val="none" w:sz="0" w:space="0" w:color="auto"/>
        <w:bottom w:val="none" w:sz="0" w:space="0" w:color="auto"/>
        <w:right w:val="none" w:sz="0" w:space="0" w:color="auto"/>
      </w:divBdr>
      <w:divsChild>
        <w:div w:id="446891392">
          <w:marLeft w:val="0"/>
          <w:marRight w:val="0"/>
          <w:marTop w:val="0"/>
          <w:marBottom w:val="0"/>
          <w:divBdr>
            <w:top w:val="none" w:sz="0" w:space="0" w:color="auto"/>
            <w:left w:val="none" w:sz="0" w:space="0" w:color="auto"/>
            <w:bottom w:val="none" w:sz="0" w:space="0" w:color="auto"/>
            <w:right w:val="none" w:sz="0" w:space="0" w:color="auto"/>
          </w:divBdr>
          <w:divsChild>
            <w:div w:id="379523277">
              <w:marLeft w:val="0"/>
              <w:marRight w:val="0"/>
              <w:marTop w:val="0"/>
              <w:marBottom w:val="0"/>
              <w:divBdr>
                <w:top w:val="none" w:sz="0" w:space="0" w:color="auto"/>
                <w:left w:val="none" w:sz="0" w:space="0" w:color="auto"/>
                <w:bottom w:val="none" w:sz="0" w:space="0" w:color="auto"/>
                <w:right w:val="none" w:sz="0" w:space="0" w:color="auto"/>
              </w:divBdr>
              <w:divsChild>
                <w:div w:id="17798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0593">
      <w:bodyDiv w:val="1"/>
      <w:marLeft w:val="0"/>
      <w:marRight w:val="0"/>
      <w:marTop w:val="0"/>
      <w:marBottom w:val="0"/>
      <w:divBdr>
        <w:top w:val="none" w:sz="0" w:space="0" w:color="auto"/>
        <w:left w:val="none" w:sz="0" w:space="0" w:color="auto"/>
        <w:bottom w:val="none" w:sz="0" w:space="0" w:color="auto"/>
        <w:right w:val="none" w:sz="0" w:space="0" w:color="auto"/>
      </w:divBdr>
      <w:divsChild>
        <w:div w:id="968903295">
          <w:marLeft w:val="0"/>
          <w:marRight w:val="0"/>
          <w:marTop w:val="0"/>
          <w:marBottom w:val="0"/>
          <w:divBdr>
            <w:top w:val="none" w:sz="0" w:space="0" w:color="auto"/>
            <w:left w:val="none" w:sz="0" w:space="0" w:color="auto"/>
            <w:bottom w:val="none" w:sz="0" w:space="0" w:color="auto"/>
            <w:right w:val="none" w:sz="0" w:space="0" w:color="auto"/>
          </w:divBdr>
          <w:divsChild>
            <w:div w:id="551963571">
              <w:marLeft w:val="0"/>
              <w:marRight w:val="0"/>
              <w:marTop w:val="0"/>
              <w:marBottom w:val="0"/>
              <w:divBdr>
                <w:top w:val="none" w:sz="0" w:space="0" w:color="auto"/>
                <w:left w:val="none" w:sz="0" w:space="0" w:color="auto"/>
                <w:bottom w:val="none" w:sz="0" w:space="0" w:color="auto"/>
                <w:right w:val="none" w:sz="0" w:space="0" w:color="auto"/>
              </w:divBdr>
              <w:divsChild>
                <w:div w:id="18308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9366">
      <w:bodyDiv w:val="1"/>
      <w:marLeft w:val="0"/>
      <w:marRight w:val="0"/>
      <w:marTop w:val="0"/>
      <w:marBottom w:val="0"/>
      <w:divBdr>
        <w:top w:val="none" w:sz="0" w:space="0" w:color="auto"/>
        <w:left w:val="none" w:sz="0" w:space="0" w:color="auto"/>
        <w:bottom w:val="none" w:sz="0" w:space="0" w:color="auto"/>
        <w:right w:val="none" w:sz="0" w:space="0" w:color="auto"/>
      </w:divBdr>
      <w:divsChild>
        <w:div w:id="1990742486">
          <w:marLeft w:val="0"/>
          <w:marRight w:val="0"/>
          <w:marTop w:val="0"/>
          <w:marBottom w:val="0"/>
          <w:divBdr>
            <w:top w:val="none" w:sz="0" w:space="0" w:color="auto"/>
            <w:left w:val="none" w:sz="0" w:space="0" w:color="auto"/>
            <w:bottom w:val="none" w:sz="0" w:space="0" w:color="auto"/>
            <w:right w:val="none" w:sz="0" w:space="0" w:color="auto"/>
          </w:divBdr>
          <w:divsChild>
            <w:div w:id="584069477">
              <w:marLeft w:val="0"/>
              <w:marRight w:val="0"/>
              <w:marTop w:val="0"/>
              <w:marBottom w:val="0"/>
              <w:divBdr>
                <w:top w:val="none" w:sz="0" w:space="0" w:color="auto"/>
                <w:left w:val="none" w:sz="0" w:space="0" w:color="auto"/>
                <w:bottom w:val="none" w:sz="0" w:space="0" w:color="auto"/>
                <w:right w:val="none" w:sz="0" w:space="0" w:color="auto"/>
              </w:divBdr>
              <w:divsChild>
                <w:div w:id="7233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9754">
      <w:bodyDiv w:val="1"/>
      <w:marLeft w:val="0"/>
      <w:marRight w:val="0"/>
      <w:marTop w:val="0"/>
      <w:marBottom w:val="0"/>
      <w:divBdr>
        <w:top w:val="none" w:sz="0" w:space="0" w:color="auto"/>
        <w:left w:val="none" w:sz="0" w:space="0" w:color="auto"/>
        <w:bottom w:val="none" w:sz="0" w:space="0" w:color="auto"/>
        <w:right w:val="none" w:sz="0" w:space="0" w:color="auto"/>
      </w:divBdr>
    </w:div>
    <w:div w:id="689070924">
      <w:bodyDiv w:val="1"/>
      <w:marLeft w:val="0"/>
      <w:marRight w:val="0"/>
      <w:marTop w:val="0"/>
      <w:marBottom w:val="0"/>
      <w:divBdr>
        <w:top w:val="none" w:sz="0" w:space="0" w:color="auto"/>
        <w:left w:val="none" w:sz="0" w:space="0" w:color="auto"/>
        <w:bottom w:val="none" w:sz="0" w:space="0" w:color="auto"/>
        <w:right w:val="none" w:sz="0" w:space="0" w:color="auto"/>
      </w:divBdr>
    </w:div>
    <w:div w:id="757989691">
      <w:bodyDiv w:val="1"/>
      <w:marLeft w:val="0"/>
      <w:marRight w:val="0"/>
      <w:marTop w:val="0"/>
      <w:marBottom w:val="0"/>
      <w:divBdr>
        <w:top w:val="none" w:sz="0" w:space="0" w:color="auto"/>
        <w:left w:val="none" w:sz="0" w:space="0" w:color="auto"/>
        <w:bottom w:val="none" w:sz="0" w:space="0" w:color="auto"/>
        <w:right w:val="none" w:sz="0" w:space="0" w:color="auto"/>
      </w:divBdr>
      <w:divsChild>
        <w:div w:id="366371361">
          <w:marLeft w:val="480"/>
          <w:marRight w:val="0"/>
          <w:marTop w:val="0"/>
          <w:marBottom w:val="0"/>
          <w:divBdr>
            <w:top w:val="none" w:sz="0" w:space="0" w:color="auto"/>
            <w:left w:val="none" w:sz="0" w:space="0" w:color="auto"/>
            <w:bottom w:val="none" w:sz="0" w:space="0" w:color="auto"/>
            <w:right w:val="none" w:sz="0" w:space="0" w:color="auto"/>
          </w:divBdr>
          <w:divsChild>
            <w:div w:id="1988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8684">
      <w:bodyDiv w:val="1"/>
      <w:marLeft w:val="0"/>
      <w:marRight w:val="0"/>
      <w:marTop w:val="0"/>
      <w:marBottom w:val="0"/>
      <w:divBdr>
        <w:top w:val="none" w:sz="0" w:space="0" w:color="auto"/>
        <w:left w:val="none" w:sz="0" w:space="0" w:color="auto"/>
        <w:bottom w:val="none" w:sz="0" w:space="0" w:color="auto"/>
        <w:right w:val="none" w:sz="0" w:space="0" w:color="auto"/>
      </w:divBdr>
      <w:divsChild>
        <w:div w:id="1915964940">
          <w:marLeft w:val="0"/>
          <w:marRight w:val="0"/>
          <w:marTop w:val="0"/>
          <w:marBottom w:val="0"/>
          <w:divBdr>
            <w:top w:val="none" w:sz="0" w:space="0" w:color="auto"/>
            <w:left w:val="none" w:sz="0" w:space="0" w:color="auto"/>
            <w:bottom w:val="none" w:sz="0" w:space="0" w:color="auto"/>
            <w:right w:val="none" w:sz="0" w:space="0" w:color="auto"/>
          </w:divBdr>
          <w:divsChild>
            <w:div w:id="1050107003">
              <w:marLeft w:val="0"/>
              <w:marRight w:val="0"/>
              <w:marTop w:val="0"/>
              <w:marBottom w:val="0"/>
              <w:divBdr>
                <w:top w:val="none" w:sz="0" w:space="0" w:color="auto"/>
                <w:left w:val="none" w:sz="0" w:space="0" w:color="auto"/>
                <w:bottom w:val="none" w:sz="0" w:space="0" w:color="auto"/>
                <w:right w:val="none" w:sz="0" w:space="0" w:color="auto"/>
              </w:divBdr>
              <w:divsChild>
                <w:div w:id="14344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5728">
      <w:bodyDiv w:val="1"/>
      <w:marLeft w:val="0"/>
      <w:marRight w:val="0"/>
      <w:marTop w:val="0"/>
      <w:marBottom w:val="0"/>
      <w:divBdr>
        <w:top w:val="none" w:sz="0" w:space="0" w:color="auto"/>
        <w:left w:val="none" w:sz="0" w:space="0" w:color="auto"/>
        <w:bottom w:val="none" w:sz="0" w:space="0" w:color="auto"/>
        <w:right w:val="none" w:sz="0" w:space="0" w:color="auto"/>
      </w:divBdr>
      <w:divsChild>
        <w:div w:id="849681262">
          <w:marLeft w:val="0"/>
          <w:marRight w:val="0"/>
          <w:marTop w:val="0"/>
          <w:marBottom w:val="0"/>
          <w:divBdr>
            <w:top w:val="none" w:sz="0" w:space="0" w:color="auto"/>
            <w:left w:val="none" w:sz="0" w:space="0" w:color="auto"/>
            <w:bottom w:val="none" w:sz="0" w:space="0" w:color="auto"/>
            <w:right w:val="none" w:sz="0" w:space="0" w:color="auto"/>
          </w:divBdr>
        </w:div>
        <w:div w:id="1815441932">
          <w:marLeft w:val="0"/>
          <w:marRight w:val="0"/>
          <w:marTop w:val="0"/>
          <w:marBottom w:val="0"/>
          <w:divBdr>
            <w:top w:val="none" w:sz="0" w:space="0" w:color="auto"/>
            <w:left w:val="none" w:sz="0" w:space="0" w:color="auto"/>
            <w:bottom w:val="none" w:sz="0" w:space="0" w:color="auto"/>
            <w:right w:val="none" w:sz="0" w:space="0" w:color="auto"/>
          </w:divBdr>
        </w:div>
      </w:divsChild>
    </w:div>
    <w:div w:id="1521892398">
      <w:bodyDiv w:val="1"/>
      <w:marLeft w:val="0"/>
      <w:marRight w:val="0"/>
      <w:marTop w:val="0"/>
      <w:marBottom w:val="0"/>
      <w:divBdr>
        <w:top w:val="none" w:sz="0" w:space="0" w:color="auto"/>
        <w:left w:val="none" w:sz="0" w:space="0" w:color="auto"/>
        <w:bottom w:val="none" w:sz="0" w:space="0" w:color="auto"/>
        <w:right w:val="none" w:sz="0" w:space="0" w:color="auto"/>
      </w:divBdr>
    </w:div>
    <w:div w:id="1831823090">
      <w:bodyDiv w:val="1"/>
      <w:marLeft w:val="0"/>
      <w:marRight w:val="0"/>
      <w:marTop w:val="0"/>
      <w:marBottom w:val="0"/>
      <w:divBdr>
        <w:top w:val="none" w:sz="0" w:space="0" w:color="auto"/>
        <w:left w:val="none" w:sz="0" w:space="0" w:color="auto"/>
        <w:bottom w:val="none" w:sz="0" w:space="0" w:color="auto"/>
        <w:right w:val="none" w:sz="0" w:space="0" w:color="auto"/>
      </w:divBdr>
      <w:divsChild>
        <w:div w:id="262881447">
          <w:marLeft w:val="0"/>
          <w:marRight w:val="0"/>
          <w:marTop w:val="0"/>
          <w:marBottom w:val="0"/>
          <w:divBdr>
            <w:top w:val="none" w:sz="0" w:space="0" w:color="auto"/>
            <w:left w:val="none" w:sz="0" w:space="0" w:color="auto"/>
            <w:bottom w:val="none" w:sz="0" w:space="0" w:color="auto"/>
            <w:right w:val="none" w:sz="0" w:space="0" w:color="auto"/>
          </w:divBdr>
          <w:divsChild>
            <w:div w:id="24529835">
              <w:marLeft w:val="0"/>
              <w:marRight w:val="0"/>
              <w:marTop w:val="0"/>
              <w:marBottom w:val="0"/>
              <w:divBdr>
                <w:top w:val="none" w:sz="0" w:space="0" w:color="auto"/>
                <w:left w:val="none" w:sz="0" w:space="0" w:color="auto"/>
                <w:bottom w:val="none" w:sz="0" w:space="0" w:color="auto"/>
                <w:right w:val="none" w:sz="0" w:space="0" w:color="auto"/>
              </w:divBdr>
              <w:divsChild>
                <w:div w:id="11281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06091">
      <w:bodyDiv w:val="1"/>
      <w:marLeft w:val="0"/>
      <w:marRight w:val="0"/>
      <w:marTop w:val="0"/>
      <w:marBottom w:val="0"/>
      <w:divBdr>
        <w:top w:val="none" w:sz="0" w:space="0" w:color="auto"/>
        <w:left w:val="none" w:sz="0" w:space="0" w:color="auto"/>
        <w:bottom w:val="none" w:sz="0" w:space="0" w:color="auto"/>
        <w:right w:val="none" w:sz="0" w:space="0" w:color="auto"/>
      </w:divBdr>
      <w:divsChild>
        <w:div w:id="54282698">
          <w:marLeft w:val="0"/>
          <w:marRight w:val="0"/>
          <w:marTop w:val="0"/>
          <w:marBottom w:val="0"/>
          <w:divBdr>
            <w:top w:val="none" w:sz="0" w:space="0" w:color="auto"/>
            <w:left w:val="none" w:sz="0" w:space="0" w:color="auto"/>
            <w:bottom w:val="none" w:sz="0" w:space="0" w:color="auto"/>
            <w:right w:val="none" w:sz="0" w:space="0" w:color="auto"/>
          </w:divBdr>
          <w:divsChild>
            <w:div w:id="1980646405">
              <w:marLeft w:val="0"/>
              <w:marRight w:val="0"/>
              <w:marTop w:val="0"/>
              <w:marBottom w:val="0"/>
              <w:divBdr>
                <w:top w:val="none" w:sz="0" w:space="0" w:color="auto"/>
                <w:left w:val="none" w:sz="0" w:space="0" w:color="auto"/>
                <w:bottom w:val="none" w:sz="0" w:space="0" w:color="auto"/>
                <w:right w:val="none" w:sz="0" w:space="0" w:color="auto"/>
              </w:divBdr>
              <w:divsChild>
                <w:div w:id="13561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fa.gov/programs/fhlbank-system-100" TargetMode="External"/><Relationship Id="rId5" Type="http://schemas.openxmlformats.org/officeDocument/2006/relationships/styles" Target="styles.xml"/><Relationship Id="rId10" Type="http://schemas.openxmlformats.org/officeDocument/2006/relationships/hyperlink" Target="https://www.fhfa.gov/programs/fhlbank-system-10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fhlb-of.com/ofweb_userWeb/resources/2022Q4CFR.pdf" TargetMode="External"/><Relationship Id="rId18" Type="http://schemas.openxmlformats.org/officeDocument/2006/relationships/hyperlink" Target="https://oversight.house.gov/report/the-role-of-government-affordable-housing-policy-in-creating-the-global-financial-crisis-of-2008/" TargetMode="External"/><Relationship Id="rId26" Type="http://schemas.openxmlformats.org/officeDocument/2006/relationships/hyperlink" Target="https://www.nytimes.com/2024/03/05/business/economy/silicon-valley-bank-federal-reserve.html" TargetMode="External"/><Relationship Id="rId3" Type="http://schemas.openxmlformats.org/officeDocument/2006/relationships/hyperlink" Target="https://drive.google.com/file/d/1M067WVIlogb0Jtrsl33ggpbHIAtVjlR6/view" TargetMode="External"/><Relationship Id="rId21" Type="http://schemas.openxmlformats.org/officeDocument/2006/relationships/hyperlink" Target="https://som.yale.edu/story/2024/fhlb-dividends-low-hanging-fruit-reconfiguring-fhlb-lending" TargetMode="External"/><Relationship Id="rId34" Type="http://schemas.openxmlformats.org/officeDocument/2006/relationships/hyperlink" Target="https://scholarship.law.columbia.edu/faculty_scholarship/4440" TargetMode="External"/><Relationship Id="rId7" Type="http://schemas.openxmlformats.org/officeDocument/2006/relationships/hyperlink" Target="https://oig.federalreserve.gov/reports/board-material-loss-review-silicon-valley-bank-sep2023.htm" TargetMode="External"/><Relationship Id="rId12" Type="http://schemas.openxmlformats.org/officeDocument/2006/relationships/hyperlink" Target="https://www.federalreserve.gov/faqs/about_12591.htm" TargetMode="External"/><Relationship Id="rId17" Type="http://schemas.openxmlformats.org/officeDocument/2006/relationships/hyperlink" Target="https://www.opensecrets.org/orgs/federal-home-loan-bank/summary?contribcycle=2024&amp;id=D000025773&amp;lobcycle=2024&amp;outspendcycle=2022&amp;topnumcycle=2024&amp;toprecipcycle=2024" TargetMode="External"/><Relationship Id="rId25" Type="http://schemas.openxmlformats.org/officeDocument/2006/relationships/hyperlink" Target="https://www.americanbanker.com/news/failed-kansas-bank-rapidly-borrowed-21-million-from-fhlb-system" TargetMode="External"/><Relationship Id="rId33" Type="http://schemas.openxmlformats.org/officeDocument/2006/relationships/hyperlink" Target="https://www.icba.org/docs/default-source/icba/advocacy-documents/letters-to-regulators/comments-on-fhlbank-system-at-100-review.pdf?sfvrsn=bfef1317_0" TargetMode="External"/><Relationship Id="rId2" Type="http://schemas.openxmlformats.org/officeDocument/2006/relationships/hyperlink" Target="https://www.sec.gov/ix?doc=/Archives/edgar/data/0001316944/000131694423000047/fhlbsf-20221231.htm" TargetMode="External"/><Relationship Id="rId16" Type="http://schemas.openxmlformats.org/officeDocument/2006/relationships/hyperlink" Target="https://www.opensecrets.org/orgs/council-of-federal-home-loan-banks/summary?contribcycle=2024&amp;id=D000049792&amp;lobcycle=2024&amp;outspendcycle=2022&amp;topnumcycle=2024&amp;toprecipcycle=2024" TargetMode="External"/><Relationship Id="rId20" Type="http://schemas.openxmlformats.org/officeDocument/2006/relationships/hyperlink" Target="https://home.treasury.gov/news/press-releases/js2362" TargetMode="External"/><Relationship Id="rId29" Type="http://schemas.openxmlformats.org/officeDocument/2006/relationships/hyperlink" Target="https://crsreports.congress.gov/product/details?prodcode=RS22172" TargetMode="External"/><Relationship Id="rId1" Type="http://schemas.openxmlformats.org/officeDocument/2006/relationships/hyperlink" Target="https://som.yale.edu/story/2024/fhlb-dividends-low-hanging-fruit-reconfiguring-fhlb-lending" TargetMode="External"/><Relationship Id="rId6" Type="http://schemas.openxmlformats.org/officeDocument/2006/relationships/hyperlink" Target="https://fraser.stlouisfed.org/files/docs/historical/federal%20reserve%20history/discountmech/evolrole_ander.pdf" TargetMode="External"/><Relationship Id="rId11" Type="http://schemas.openxmlformats.org/officeDocument/2006/relationships/hyperlink" Target="https://www.federalreserve.gov/publications/2022-ar-statistical-tables.htm" TargetMode="External"/><Relationship Id="rId24" Type="http://schemas.openxmlformats.org/officeDocument/2006/relationships/hyperlink" Target="https://scholarship.law.columbia.edu/faculty_scholarship/106" TargetMode="External"/><Relationship Id="rId32" Type="http://schemas.openxmlformats.org/officeDocument/2006/relationships/hyperlink" Target="https://www.occ.gov/publications-and-resources/publications/community-affairs/community-developments-investments/pub-cdi-may-2015.pdf" TargetMode="External"/><Relationship Id="rId5" Type="http://schemas.openxmlformats.org/officeDocument/2006/relationships/hyperlink" Target="https://www.cbo.gov/publication/60064" TargetMode="External"/><Relationship Id="rId15" Type="http://schemas.openxmlformats.org/officeDocument/2006/relationships/hyperlink" Target="https://furmancenter.org/thestoop/entry/the-gse-public-private-hybrid-model-flunks-again-this-time-its-the-federal-home-loan-bank-system-part-2" TargetMode="External"/><Relationship Id="rId23" Type="http://schemas.openxmlformats.org/officeDocument/2006/relationships/hyperlink" Target="https://doi.org/10.1093/jfr/fjad002" TargetMode="External"/><Relationship Id="rId28" Type="http://schemas.openxmlformats.org/officeDocument/2006/relationships/hyperlink" Target="https://oac.cdlib.org/findaid/ark:/13030/tf1w1001jf/entire_text/" TargetMode="External"/><Relationship Id="rId10" Type="http://schemas.openxmlformats.org/officeDocument/2006/relationships/hyperlink" Target="https://www.fhlb-of.com/ofweb_userWeb/resources/2023Q4CFR.pdf" TargetMode="External"/><Relationship Id="rId19" Type="http://schemas.openxmlformats.org/officeDocument/2006/relationships/hyperlink" Target="https://www.everycrsreport.com/files/20070116_RL32795_664677ceb6692d385159a713209737be8a465f89.pdf" TargetMode="External"/><Relationship Id="rId31" Type="http://schemas.openxmlformats.org/officeDocument/2006/relationships/hyperlink" Target="https://www.cbre.com/insights/books/us-real-estate-market-outlook-2022" TargetMode="External"/><Relationship Id="rId4" Type="http://schemas.openxmlformats.org/officeDocument/2006/relationships/hyperlink" Target="https://www.presidency.ucsb.edu/node/207591" TargetMode="External"/><Relationship Id="rId9" Type="http://schemas.openxmlformats.org/officeDocument/2006/relationships/hyperlink" Target="http://catalog.gpo.gov/F/?func=direct&amp;doc_number=000794397&amp;format=999" TargetMode="External"/><Relationship Id="rId14" Type="http://schemas.openxmlformats.org/officeDocument/2006/relationships/hyperlink" Target="https://www.federalreserve.gov/aboutthefed/federal-reserve-system.htm" TargetMode="External"/><Relationship Id="rId22" Type="http://schemas.openxmlformats.org/officeDocument/2006/relationships/hyperlink" Target="https://www.urban.org/research/publication/defense-federal-home-loan-banks" TargetMode="External"/><Relationship Id="rId27" Type="http://schemas.openxmlformats.org/officeDocument/2006/relationships/hyperlink" Target="https://news.bloomberglaw.com/banking-law/a-vegas-whale-and-wall-street-tap-billions-meant-for-us-housing" TargetMode="External"/><Relationship Id="rId30" Type="http://schemas.openxmlformats.org/officeDocument/2006/relationships/hyperlink" Target="https://www.fhfa.gov/news/news-release/fhfa-announces-conforming-loan-limit-values-for-2024" TargetMode="External"/><Relationship Id="rId35" Type="http://schemas.openxmlformats.org/officeDocument/2006/relationships/hyperlink" Target="https://www.fhfa.gov/sites/default/files/2024-05/FHLBank-Mission-RFI-2024.pdf" TargetMode="External"/><Relationship Id="rId8" Type="http://schemas.openxmlformats.org/officeDocument/2006/relationships/hyperlink" Target="https://www.bloomberg.com/news/articles/2024-03-12/after-svb-failed-fhlb-charged-285-million-in-fees-to-wind-down-financ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527215-b60f-4ba6-940b-57a33948dc70"/>
    <lcf76f155ced4ddcb4097134ff3c332f xmlns="84732523-58a5-4579-a881-6d7f53a4cb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8643B5A6A4C44BBA3A8F98D0082F39" ma:contentTypeVersion="18" ma:contentTypeDescription="Create a new document." ma:contentTypeScope="" ma:versionID="fc886a8f32b0190db4635504c451306e">
  <xsd:schema xmlns:xsd="http://www.w3.org/2001/XMLSchema" xmlns:xs="http://www.w3.org/2001/XMLSchema" xmlns:p="http://schemas.microsoft.com/office/2006/metadata/properties" xmlns:ns2="84732523-58a5-4579-a881-6d7f53a4cb5a" xmlns:ns3="6b527215-b60f-4ba6-940b-57a33948dc70" targetNamespace="http://schemas.microsoft.com/office/2006/metadata/properties" ma:root="true" ma:fieldsID="48349704f23e9762b27047f9dfd43d6d" ns2:_="" ns3:_="">
    <xsd:import namespace="84732523-58a5-4579-a881-6d7f53a4cb5a"/>
    <xsd:import namespace="6b527215-b60f-4ba6-940b-57a33948dc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2523-58a5-4579-a881-6d7f53a4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b4b2d4-9bb6-49a7-8a4b-ec3b3538ad4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27215-b60f-4ba6-940b-57a33948dc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178e8c-26ff-4850-8a6d-b8ad1eedc5e9}" ma:internalName="TaxCatchAll" ma:showField="CatchAllData" ma:web="6b527215-b60f-4ba6-940b-57a33948d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0130E-395B-44C0-A1FB-A83563F101ED}">
  <ds:schemaRefs>
    <ds:schemaRef ds:uri="http://schemas.microsoft.com/sharepoint/v3/contenttype/forms"/>
  </ds:schemaRefs>
</ds:datastoreItem>
</file>

<file path=customXml/itemProps2.xml><?xml version="1.0" encoding="utf-8"?>
<ds:datastoreItem xmlns:ds="http://schemas.openxmlformats.org/officeDocument/2006/customXml" ds:itemID="{037EC2B0-D8CA-41A1-820F-0F2FD1D79538}">
  <ds:schemaRefs>
    <ds:schemaRef ds:uri="http://schemas.microsoft.com/office/2006/metadata/properties"/>
    <ds:schemaRef ds:uri="http://schemas.microsoft.com/office/infopath/2007/PartnerControls"/>
    <ds:schemaRef ds:uri="6b527215-b60f-4ba6-940b-57a33948dc70"/>
    <ds:schemaRef ds:uri="84732523-58a5-4579-a881-6d7f53a4cb5a"/>
  </ds:schemaRefs>
</ds:datastoreItem>
</file>

<file path=customXml/itemProps3.xml><?xml version="1.0" encoding="utf-8"?>
<ds:datastoreItem xmlns:ds="http://schemas.openxmlformats.org/officeDocument/2006/customXml" ds:itemID="{A63D68F2-34B7-8E4D-9F49-72DD6C13D4D0}">
  <ds:schemaRefs>
    <ds:schemaRef ds:uri="http://schemas.openxmlformats.org/officeDocument/2006/bibliography"/>
  </ds:schemaRefs>
</ds:datastoreItem>
</file>

<file path=customXml/itemProps4.xml><?xml version="1.0" encoding="utf-8"?>
<ds:datastoreItem xmlns:ds="http://schemas.openxmlformats.org/officeDocument/2006/customXml" ds:itemID="{A03A5B76-75E0-4633-A998-EB88195D7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2523-58a5-4579-a881-6d7f53a4cb5a"/>
    <ds:schemaRef ds:uri="6b527215-b60f-4ba6-940b-57a33948d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Cui</cp:lastModifiedBy>
  <cp:revision>18</cp:revision>
  <dcterms:created xsi:type="dcterms:W3CDTF">2024-07-15T13:30:00Z</dcterms:created>
  <dcterms:modified xsi:type="dcterms:W3CDTF">2024-07-15T18:24:00Z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0x0101003C8643B5A6A4C44BBA3A8F98D0082F39</vt:lpwstr>
  </property>
</Properties>
</file>