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F7A6" w14:textId="77777777" w:rsidR="00B17ABB" w:rsidRDefault="00B17ABB" w:rsidP="00B17AB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Kelly Bousquet [mailto:kbousquet@university-lending.com]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11:40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 Comment</w:t>
      </w:r>
    </w:p>
    <w:p w14:paraId="38BBF7A7" w14:textId="77777777" w:rsidR="00B17ABB" w:rsidRDefault="00B17ABB" w:rsidP="00B17ABB"/>
    <w:p w14:paraId="38BBF7A8" w14:textId="77777777" w:rsidR="00B17ABB" w:rsidRDefault="00B17ABB" w:rsidP="00B17ABB">
      <w:pPr>
        <w:pStyle w:val="NormalWeb"/>
      </w:pPr>
      <w:r>
        <w:t>December 14, 2011</w:t>
      </w:r>
      <w:r>
        <w:br/>
        <w:t> </w:t>
      </w:r>
      <w:r>
        <w:br/>
        <w:t> Mr. Edward DeMarco</w:t>
      </w:r>
      <w:r>
        <w:br/>
        <w:t>Acting Director</w:t>
      </w:r>
      <w:r>
        <w:br/>
        <w:t>Federal Housing Finance Agency</w:t>
      </w:r>
      <w:r>
        <w:br/>
        <w:t>1700 G Street, NW, 4th Floor</w:t>
      </w:r>
      <w:r>
        <w:br/>
        <w:t>Washington, DC 20552</w:t>
      </w:r>
      <w:r>
        <w:br/>
        <w:t> </w:t>
      </w:r>
      <w:r>
        <w:br/>
        <w:t> </w:t>
      </w:r>
      <w:r>
        <w:br/>
        <w:t> </w:t>
      </w:r>
      <w:r>
        <w:b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r>
        <w:br/>
        <w:t> </w:t>
      </w:r>
      <w:r>
        <w:br/>
        <w:t xml:space="preserve">1) What are the impacts of these proposals on the competitive landscape in origination and servicing markets, service to borrowers, and efficiency in secondary markets? </w:t>
      </w:r>
      <w:r>
        <w:br/>
        <w:t> </w:t>
      </w:r>
      <w:r>
        <w:b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r>
        <w:br/>
        <w:t> </w:t>
      </w:r>
      <w:r>
        <w:b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r>
        <w:br/>
        <w:t> </w:t>
      </w:r>
      <w:r>
        <w:br/>
        <w:t>Fee for Service should be the structure for agency servicing going forward.</w:t>
      </w:r>
      <w:r>
        <w:br/>
        <w:t> </w:t>
      </w:r>
      <w:r>
        <w:br/>
        <w:t>We would like the MINIMUM service fee required to be retained to be as low as possible, and be a fixed dollar amount, say $10 per loan per month.  Other institutions may opt to retain higher amounts and that is fine that they opt for “excess servicing fee income”.</w:t>
      </w:r>
      <w:r>
        <w:br/>
        <w:t> </w:t>
      </w:r>
      <w:r>
        <w:br/>
        <w:t xml:space="preserve">2) What are the benefits and/or the impediments to your business model of having a capitalized MSR asset? </w:t>
      </w:r>
      <w:r>
        <w:br/>
        <w:t> </w:t>
      </w:r>
      <w:r>
        <w:br/>
        <w:t>We will be able to compete on a more level playing field for mortgage origination business.</w:t>
      </w:r>
      <w:r>
        <w:br/>
        <w:t> </w:t>
      </w:r>
      <w:r>
        <w:br/>
        <w:t>a)      Does a capitalized MSR impede competition in the servicing and origination market?</w:t>
      </w:r>
      <w:r>
        <w:br/>
        <w:t> </w:t>
      </w:r>
      <w:r>
        <w:br/>
      </w:r>
      <w:r>
        <w:lastRenderedPageBreak/>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r>
        <w:br/>
        <w:t> </w:t>
      </w:r>
      <w:r>
        <w:br/>
        <w:t xml:space="preserve">b)      Does the impact vary across various business and interest rate cycles? </w:t>
      </w:r>
      <w:r>
        <w:br/>
        <w:t> </w:t>
      </w:r>
      <w:r>
        <w:br/>
        <w:t>No.  The volatility of earnings caused by the ongoing mark to market of MSRs is bad, whether its income or loss volatility is bad.</w:t>
      </w:r>
      <w:r>
        <w:br/>
        <w:t> </w:t>
      </w:r>
      <w:r>
        <w:br/>
        <w:t xml:space="preserve">c)      Does the impact vary across size of servicers and originators? </w:t>
      </w:r>
      <w:r>
        <w:br/>
        <w:t> </w:t>
      </w:r>
      <w:r>
        <w:b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r>
        <w:br/>
        <w:t> </w:t>
      </w:r>
      <w:r>
        <w:br/>
        <w:t xml:space="preserve">d)     Would greater transparency in MSR valuation improve the competitive landscape? </w:t>
      </w:r>
      <w:r>
        <w:br/>
        <w:t> </w:t>
      </w:r>
      <w:r>
        <w:br/>
        <w:t>No.  Valuing MSRs is itself the problem that we need to fix.</w:t>
      </w:r>
      <w:r>
        <w:br/>
        <w:t> </w:t>
      </w:r>
      <w:r>
        <w:br/>
        <w:t xml:space="preserve">e)      What is the impact of a potential reduction in tax Safe Harbor? </w:t>
      </w:r>
      <w:r>
        <w:br/>
        <w:t> </w:t>
      </w:r>
      <w:r>
        <w:br/>
        <w:t>This has no important to us.</w:t>
      </w:r>
      <w:r>
        <w:br/>
        <w:t> </w:t>
      </w:r>
      <w:r>
        <w:br/>
        <w:t xml:space="preserve">f)       Should the servicer be required to hold a capitalized MSR asset (effectively be an IO investor) as a condition of performing servicing activities? </w:t>
      </w:r>
      <w:r>
        <w:br/>
        <w:t> </w:t>
      </w:r>
      <w:r>
        <w:b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r>
        <w:br/>
        <w:t> </w:t>
      </w:r>
      <w:r>
        <w:br/>
        <w:t xml:space="preserve">3) Should a lender’s excess IO remain contractually attached to the MSR, or would seller/servicers prefer to have the excess IO be a separate stand alone asset (unencumbered by the Enterprises)? </w:t>
      </w:r>
      <w:r>
        <w:br/>
        <w:t> </w:t>
      </w:r>
      <w:r>
        <w:br/>
        <w:t>We feel that the excess IO could remain contractually attached to the MSR or be sold at any time.  Maximum flexibility is best.</w:t>
      </w:r>
      <w:r>
        <w:br/>
        <w:t> </w:t>
      </w:r>
      <w:r>
        <w:br/>
        <w:t xml:space="preserve">a)      Does the impact from market-based pricing of the excess IO vary across size of servicers and originators? </w:t>
      </w:r>
      <w:r>
        <w:br/>
        <w:t> </w:t>
      </w:r>
      <w:r>
        <w:br/>
        <w:t xml:space="preserve">Servicers who are inefficient will have some competitive disadvantage because they will have to hold additional excess IO and therefore will have less upfront profit from each mortgage </w:t>
      </w:r>
      <w:r>
        <w:lastRenderedPageBreak/>
        <w:t>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r>
        <w:br/>
        <w:t> </w:t>
      </w:r>
      <w:r>
        <w:br/>
        <w:t xml:space="preserve">b)      Does contractually separating the excess IO from the MSR create more liquidity and price transparency? </w:t>
      </w:r>
      <w:r>
        <w:br/>
        <w:t> </w:t>
      </w:r>
      <w:r>
        <w:br/>
        <w:t>No I don’t see why that would.</w:t>
      </w:r>
      <w:r>
        <w:br/>
        <w:t> </w:t>
      </w:r>
      <w:r>
        <w:br/>
        <w:t xml:space="preserve">c)      Is the flexibility to separate the operational activities (servicing) from the financial management activities (investing in and managing MSR/IO exposure), as outlined in the Fee for Service proposal, beneficial or harmful to the industry? </w:t>
      </w:r>
      <w:r>
        <w:br/>
        <w:t> </w:t>
      </w:r>
      <w:r>
        <w:br/>
        <w:t>This would greatly benefit smaller institutions and over time greatly degrade the market share of the mega banks, which is a very good thing and a social good.</w:t>
      </w:r>
      <w:r>
        <w:br/>
        <w:t> </w:t>
      </w:r>
      <w:r>
        <w:br/>
        <w:t xml:space="preserve">4) Would these proposals encourage greater investment in non-performing loan operations or abilities in a benign market cycle? </w:t>
      </w:r>
      <w:r>
        <w:br/>
        <w:t> </w:t>
      </w:r>
      <w:r>
        <w:b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r>
        <w:br/>
        <w:t> </w:t>
      </w:r>
      <w:r>
        <w:br/>
        <w:t xml:space="preserve">a)      How does this impact the alignment between guarantor and servicer interests? </w:t>
      </w:r>
      <w:r>
        <w:br/>
        <w:t> </w:t>
      </w:r>
      <w:r>
        <w:br/>
        <w:t>It helped a lot to align interests.</w:t>
      </w:r>
      <w:r>
        <w:br/>
        <w:t> </w:t>
      </w:r>
      <w:r>
        <w:br/>
        <w:t xml:space="preserve">b)      Would this improve service to borrowers? </w:t>
      </w:r>
      <w:r>
        <w:br/>
        <w:t> </w:t>
      </w:r>
      <w:r>
        <w:b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r>
        <w:br/>
        <w:t> </w:t>
      </w:r>
      <w:r>
        <w:br/>
        <w:t xml:space="preserve">5) What would be the impact of the proposals on the TBA market if there were no MSR capitalization? </w:t>
      </w:r>
      <w:r>
        <w:br/>
        <w:t> </w:t>
      </w:r>
      <w:r>
        <w:br/>
        <w:t>I believe that many more loans would be securitized by smaller and midsized institutions and the TBA market would therefore become much more liquid and tradeable.</w:t>
      </w:r>
      <w:r>
        <w:br/>
        <w:t> </w:t>
      </w:r>
      <w:r>
        <w:br/>
        <w:t>a) To what degree might the net tangible benefit test and other suggested provisions help mitigate any potential negative impact on the TBA market? No opinion.</w:t>
      </w:r>
      <w:r>
        <w:br/>
        <w:t> </w:t>
      </w:r>
      <w:r>
        <w:br/>
      </w:r>
      <w:r>
        <w:lastRenderedPageBreak/>
        <w:t>b) What additional steps can we take to assure continued liquidity in the TBA market? No opinion.</w:t>
      </w:r>
      <w:r>
        <w:br/>
        <w:t> </w:t>
      </w:r>
      <w:r>
        <w:br/>
        <w:t xml:space="preserve">6) Should any of the following provisions that were proposed in the fee for service proposal be considered independent of any other changes to servicing compensation structure? </w:t>
      </w:r>
      <w:r>
        <w:br/>
        <w:t> </w:t>
      </w:r>
      <w:r>
        <w:b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r>
        <w:br/>
        <w:t> </w:t>
      </w:r>
      <w:r>
        <w:br/>
        <w:t>b) A net tangible benefit test for streamlined refinances Yes.  Anything that helps people struggling to refi to lower rates is a good thing.</w:t>
      </w:r>
      <w:r>
        <w:br/>
        <w:t> </w:t>
      </w:r>
      <w:r>
        <w:br/>
        <w:t>c) Restriction of the amount of excess IO in a given pool No, maximum flexibility is good.</w:t>
      </w:r>
      <w:r>
        <w:br/>
        <w:t> </w:t>
      </w:r>
      <w:r>
        <w:br/>
        <w:t>d) Limitation of P&amp;I advance requirements Yes, this would help smaller players reduce risk in a blow out depressionary environment.</w:t>
      </w:r>
      <w:r>
        <w:br/>
        <w:t> </w:t>
      </w:r>
      <w:r>
        <w:b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r>
        <w:br/>
        <w:t> </w:t>
      </w:r>
      <w:r>
        <w:br/>
        <w:t>Sincerely,</w:t>
      </w:r>
      <w:r>
        <w:br/>
        <w:t> </w:t>
      </w:r>
      <w:r>
        <w:br/>
      </w:r>
      <w:r>
        <w:rPr>
          <w:rStyle w:val="Emphasis"/>
          <w:rFonts w:ascii="Georgia" w:hAnsi="Georgia"/>
          <w:color w:val="000000"/>
          <w:sz w:val="27"/>
          <w:szCs w:val="27"/>
        </w:rPr>
        <w:t>Kelly Leigh Bousquet</w:t>
      </w:r>
      <w:r>
        <w:rPr>
          <w:rFonts w:ascii="Georgia" w:hAnsi="Georgia"/>
          <w:i/>
          <w:iCs/>
          <w:color w:val="000000"/>
          <w:sz w:val="27"/>
          <w:szCs w:val="27"/>
        </w:rPr>
        <w:br/>
      </w:r>
      <w:r>
        <w:t>Mortgage Origination Specialist</w:t>
      </w:r>
    </w:p>
    <w:p w14:paraId="38BBF7A9" w14:textId="77777777" w:rsidR="00B17ABB" w:rsidRDefault="00B17ABB" w:rsidP="00B17ABB">
      <w:r>
        <w:t>NMLS# 541624</w:t>
      </w:r>
      <w:r>
        <w:br/>
        <w:t>University Lending Group</w:t>
      </w:r>
      <w:r>
        <w:br/>
        <w:t>A subsidiary of University Bank</w:t>
      </w:r>
      <w:r>
        <w:br/>
      </w:r>
      <w:r>
        <w:br/>
        <w:t>Phone:  850-912-8002</w:t>
      </w:r>
      <w:r>
        <w:br/>
        <w:t>Fax:  850-466-5228</w:t>
      </w:r>
      <w:r>
        <w:br/>
        <w:t xml:space="preserve">Email:  </w:t>
      </w:r>
      <w:hyperlink r:id="rId7" w:tgtFrame="_blank" w:history="1">
        <w:r>
          <w:rPr>
            <w:rStyle w:val="Hyperlink"/>
          </w:rPr>
          <w:t>kbousquet@university-lending.com</w:t>
        </w:r>
      </w:hyperlink>
    </w:p>
    <w:p w14:paraId="38BBF7AA"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ABB"/>
    <w:rsid w:val="004714D4"/>
    <w:rsid w:val="00975233"/>
    <w:rsid w:val="00B17ABB"/>
    <w:rsid w:val="00DA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F7A6"/>
  <w15:docId w15:val="{A2EFE1D5-89EB-4216-AD21-6489A299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ABB"/>
    <w:rPr>
      <w:color w:val="0000FF"/>
      <w:u w:val="single"/>
    </w:rPr>
  </w:style>
  <w:style w:type="paragraph" w:styleId="NormalWeb">
    <w:name w:val="Normal (Web)"/>
    <w:basedOn w:val="Normal"/>
    <w:uiPriority w:val="99"/>
    <w:semiHidden/>
    <w:unhideWhenUsed/>
    <w:rsid w:val="00B17ABB"/>
    <w:pPr>
      <w:spacing w:before="100" w:beforeAutospacing="1" w:after="100" w:afterAutospacing="1"/>
    </w:pPr>
  </w:style>
  <w:style w:type="character" w:styleId="Emphasis">
    <w:name w:val="Emphasis"/>
    <w:basedOn w:val="DefaultParagraphFont"/>
    <w:uiPriority w:val="20"/>
    <w:qFormat/>
    <w:rsid w:val="00B17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bousquet@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3CB9A3EB-8873-404A-A02D-148E5161EF5D}">
  <ds:schemaRefs>
    <ds:schemaRef ds:uri="http://schemas.microsoft.com/sharepoint/v3/contenttype/forms"/>
  </ds:schemaRefs>
</ds:datastoreItem>
</file>

<file path=customXml/itemProps2.xml><?xml version="1.0" encoding="utf-8"?>
<ds:datastoreItem xmlns:ds="http://schemas.openxmlformats.org/officeDocument/2006/customXml" ds:itemID="{46439AEB-7CCF-43F6-BE09-18FAA79C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8E5B1-4CDB-4AF7-A259-AF59595BC315}">
  <ds:schemaRefs>
    <ds:schemaRef ds:uri="http://schemas.microsoft.com/office/2006/documentManagement/types"/>
    <ds:schemaRef ds:uri="http://purl.org/dc/terms/"/>
    <ds:schemaRef ds:uri="http://schemas.openxmlformats.org/package/2006/metadata/core-properties"/>
    <ds:schemaRef ds:uri="946b7fcb-b6b4-4ef2-be73-dba3a580ace5"/>
    <ds:schemaRef ds:uri="http://purl.org/dc/dcmitype/"/>
    <ds:schemaRef ds:uri="http://schemas.microsoft.com/office/infopath/2007/PartnerControls"/>
    <ds:schemaRef ds:uri="http://purl.org/dc/elements/1.1/"/>
    <ds:schemaRef ds:uri="054c2eff-e66d-4d5e-80b6-2379bad19f6c"/>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7195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2025-02-24T20:01:00Z</dcterms:created>
  <dcterms:modified xsi:type="dcterms:W3CDTF">2025-02-24T20:01:00Z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