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2268" w14:textId="77777777" w:rsidR="00672F2E" w:rsidRDefault="00672F2E" w:rsidP="00672F2E">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Mike Hogan [mailto:mhogan@chimneyrockmortgage.com]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6:37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on Servicing Regulations</w:t>
      </w:r>
    </w:p>
    <w:p w14:paraId="48332269" w14:textId="77777777" w:rsidR="00672F2E" w:rsidRDefault="00672F2E" w:rsidP="00672F2E"/>
    <w:p w14:paraId="4833226A" w14:textId="77777777" w:rsidR="00672F2E" w:rsidRDefault="00672F2E" w:rsidP="00672F2E">
      <w:pPr>
        <w:rPr>
          <w:rFonts w:ascii="Arial" w:hAnsi="Arial" w:cs="Arial"/>
          <w:sz w:val="20"/>
          <w:szCs w:val="20"/>
        </w:rPr>
      </w:pPr>
      <w:r>
        <w:rPr>
          <w:rFonts w:ascii="Arial" w:hAnsi="Arial" w:cs="Arial"/>
          <w:sz w:val="20"/>
          <w:szCs w:val="20"/>
        </w:rPr>
        <w:t>Mr. Edward DeMarco:</w:t>
      </w:r>
    </w:p>
    <w:p w14:paraId="4833226B" w14:textId="77777777" w:rsidR="00672F2E" w:rsidRDefault="00672F2E" w:rsidP="00672F2E">
      <w:pPr>
        <w:rPr>
          <w:rFonts w:ascii="Arial" w:hAnsi="Arial" w:cs="Arial"/>
          <w:sz w:val="20"/>
          <w:szCs w:val="20"/>
        </w:rPr>
      </w:pPr>
    </w:p>
    <w:p w14:paraId="4833226C" w14:textId="77777777" w:rsidR="00672F2E" w:rsidRDefault="00672F2E" w:rsidP="00672F2E">
      <w:pPr>
        <w:rPr>
          <w:rFonts w:ascii="Arial" w:hAnsi="Arial" w:cs="Arial"/>
          <w:sz w:val="20"/>
          <w:szCs w:val="20"/>
        </w:rPr>
      </w:pPr>
      <w:r>
        <w:rPr>
          <w:rFonts w:ascii="Arial" w:hAnsi="Arial" w:cs="Arial"/>
          <w:sz w:val="20"/>
          <w:szCs w:val="20"/>
        </w:rPr>
        <w:t xml:space="preserve">Thank you for the opportunity to comment on its “Alternative Mortgage Servicing Discussion Paper,” released on September 27, 2011.  The world of servicing has undergone unprecedented stress over the course of the economic downturn.  I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4833226D" w14:textId="77777777" w:rsidR="00672F2E" w:rsidRDefault="00672F2E" w:rsidP="00672F2E">
      <w:pPr>
        <w:rPr>
          <w:rFonts w:ascii="Arial" w:hAnsi="Arial" w:cs="Arial"/>
          <w:sz w:val="20"/>
          <w:szCs w:val="20"/>
        </w:rPr>
      </w:pPr>
    </w:p>
    <w:p w14:paraId="4833226E" w14:textId="77777777" w:rsidR="00672F2E" w:rsidRDefault="00672F2E" w:rsidP="00672F2E">
      <w:pPr>
        <w:rPr>
          <w:rFonts w:ascii="Arial" w:hAnsi="Arial" w:cs="Arial"/>
          <w:sz w:val="20"/>
          <w:szCs w:val="20"/>
        </w:rPr>
      </w:pPr>
      <w:r>
        <w:rPr>
          <w:rFonts w:ascii="Arial" w:hAnsi="Arial" w:cs="Arial"/>
          <w:sz w:val="20"/>
          <w:szCs w:val="20"/>
        </w:rPr>
        <w:t>However, I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4833226F" w14:textId="77777777" w:rsidR="00672F2E" w:rsidRDefault="00672F2E" w:rsidP="00672F2E">
      <w:pPr>
        <w:rPr>
          <w:rFonts w:ascii="Arial" w:hAnsi="Arial" w:cs="Arial"/>
          <w:sz w:val="20"/>
          <w:szCs w:val="20"/>
        </w:rPr>
      </w:pPr>
    </w:p>
    <w:p w14:paraId="48332270" w14:textId="77777777" w:rsidR="00672F2E" w:rsidRDefault="00672F2E" w:rsidP="00672F2E">
      <w:pPr>
        <w:rPr>
          <w:rFonts w:ascii="Arial" w:hAnsi="Arial" w:cs="Arial"/>
          <w:sz w:val="20"/>
          <w:szCs w:val="20"/>
        </w:rPr>
      </w:pPr>
      <w:r>
        <w:rPr>
          <w:rFonts w:ascii="Arial" w:hAnsi="Arial" w:cs="Arial"/>
          <w:sz w:val="20"/>
          <w:szCs w:val="20"/>
        </w:rPr>
        <w:t>While I do not endorse a change to the current servicing compensation model, I do recognize that there is a feeling amongst the regulators that there is a need for change.  If FHFA feels strongly that making fundamental changes to the servicing fee structure is necessary, of the options presented in the September 27</w:t>
      </w:r>
      <w:r>
        <w:rPr>
          <w:rFonts w:ascii="Arial" w:hAnsi="Arial" w:cs="Arial"/>
          <w:sz w:val="20"/>
          <w:szCs w:val="20"/>
          <w:vertAlign w:val="superscript"/>
        </w:rPr>
        <w:t>th</w:t>
      </w:r>
      <w:r>
        <w:rPr>
          <w:rFonts w:ascii="Arial" w:hAnsi="Arial" w:cs="Arial"/>
          <w:sz w:val="20"/>
          <w:szCs w:val="20"/>
        </w:rPr>
        <w:t xml:space="preserve"> discussion paper, I urge FHFA to adopt the cash reserve model.  Of the two proposals presented, it is the only one which truly meets FHFA’s stated objective while ensuring minimal disruptions to the market.  </w:t>
      </w:r>
    </w:p>
    <w:p w14:paraId="48332271" w14:textId="77777777" w:rsidR="00672F2E" w:rsidRDefault="00672F2E" w:rsidP="00672F2E">
      <w:pPr>
        <w:pStyle w:val="default"/>
        <w:spacing w:after="222"/>
        <w:rPr>
          <w:rFonts w:ascii="Arial" w:hAnsi="Arial" w:cs="Arial"/>
          <w:color w:val="auto"/>
          <w:sz w:val="20"/>
          <w:szCs w:val="20"/>
        </w:rPr>
      </w:pPr>
      <w:r>
        <w:rPr>
          <w:rFonts w:ascii="Arial" w:hAnsi="Arial" w:cs="Arial"/>
          <w:color w:val="auto"/>
          <w:sz w:val="20"/>
          <w:szCs w:val="20"/>
        </w:rPr>
        <w:b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48332272" w14:textId="77777777" w:rsidR="00672F2E" w:rsidRDefault="00672F2E" w:rsidP="00672F2E">
      <w:pPr>
        <w:rPr>
          <w:rFonts w:ascii="Arial" w:hAnsi="Arial" w:cs="Arial"/>
          <w:sz w:val="20"/>
          <w:szCs w:val="20"/>
        </w:rPr>
      </w:pPr>
      <w:r>
        <w:rPr>
          <w:rFonts w:ascii="Arial" w:hAnsi="Arial" w:cs="Arial"/>
          <w:sz w:val="20"/>
          <w:szCs w:val="20"/>
        </w:rPr>
        <w:t> I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48332273" w14:textId="77777777" w:rsidR="00672F2E" w:rsidRDefault="00672F2E" w:rsidP="00672F2E">
      <w:pPr>
        <w:rPr>
          <w:rFonts w:ascii="Arial" w:hAnsi="Arial" w:cs="Arial"/>
          <w:sz w:val="20"/>
          <w:szCs w:val="20"/>
        </w:rPr>
      </w:pPr>
    </w:p>
    <w:p w14:paraId="48332274" w14:textId="77777777" w:rsidR="00672F2E" w:rsidRDefault="00672F2E" w:rsidP="00672F2E">
      <w:pPr>
        <w:rPr>
          <w:rFonts w:ascii="Arial" w:hAnsi="Arial" w:cs="Arial"/>
          <w:sz w:val="20"/>
          <w:szCs w:val="20"/>
        </w:rPr>
      </w:pPr>
      <w:r>
        <w:rPr>
          <w:rFonts w:ascii="Arial" w:hAnsi="Arial" w:cs="Arial"/>
          <w:sz w:val="20"/>
          <w:szCs w:val="20"/>
        </w:rPr>
        <w:t>Thank you for your consideration of our comments.  If you have any questions, please let me know.</w:t>
      </w:r>
    </w:p>
    <w:p w14:paraId="48332275" w14:textId="77777777" w:rsidR="00672F2E" w:rsidRDefault="00672F2E" w:rsidP="00672F2E">
      <w:pPr>
        <w:rPr>
          <w:rFonts w:ascii="Arial" w:hAnsi="Arial" w:cs="Arial"/>
          <w:sz w:val="20"/>
          <w:szCs w:val="20"/>
        </w:rPr>
      </w:pPr>
    </w:p>
    <w:p w14:paraId="48332276" w14:textId="77777777" w:rsidR="00672F2E" w:rsidRDefault="00672F2E" w:rsidP="00672F2E">
      <w:pPr>
        <w:rPr>
          <w:rFonts w:ascii="Arial" w:hAnsi="Arial" w:cs="Arial"/>
          <w:sz w:val="20"/>
          <w:szCs w:val="20"/>
        </w:rPr>
      </w:pPr>
      <w:r>
        <w:rPr>
          <w:rFonts w:ascii="Arial" w:hAnsi="Arial" w:cs="Arial"/>
          <w:sz w:val="20"/>
          <w:szCs w:val="20"/>
        </w:rPr>
        <w:t>Sincerely,</w:t>
      </w:r>
    </w:p>
    <w:p w14:paraId="48332277" w14:textId="77777777" w:rsidR="00672F2E" w:rsidRDefault="00672F2E" w:rsidP="00672F2E">
      <w:pPr>
        <w:rPr>
          <w:rFonts w:ascii="Arial" w:hAnsi="Arial" w:cs="Arial"/>
          <w:sz w:val="20"/>
          <w:szCs w:val="20"/>
        </w:rPr>
      </w:pPr>
    </w:p>
    <w:p w14:paraId="48332278" w14:textId="77777777" w:rsidR="00672F2E" w:rsidRDefault="00672F2E" w:rsidP="00672F2E">
      <w:pPr>
        <w:rPr>
          <w:rFonts w:ascii="Arial" w:hAnsi="Arial" w:cs="Arial"/>
          <w:sz w:val="20"/>
          <w:szCs w:val="20"/>
        </w:rPr>
      </w:pPr>
    </w:p>
    <w:p w14:paraId="48332279" w14:textId="77777777" w:rsidR="00672F2E" w:rsidRDefault="00672F2E" w:rsidP="00672F2E">
      <w:r>
        <w:rPr>
          <w:rFonts w:ascii="Arial" w:hAnsi="Arial" w:cs="Arial"/>
          <w:sz w:val="20"/>
          <w:szCs w:val="20"/>
        </w:rPr>
        <w:t>Mike Hogan</w:t>
      </w:r>
    </w:p>
    <w:p w14:paraId="4833227A" w14:textId="77777777" w:rsidR="00672F2E" w:rsidRDefault="00672F2E" w:rsidP="00672F2E">
      <w:r>
        <w:rPr>
          <w:rFonts w:ascii="Arial" w:hAnsi="Arial" w:cs="Arial"/>
          <w:sz w:val="20"/>
          <w:szCs w:val="20"/>
        </w:rPr>
        <w:t>President</w:t>
      </w:r>
    </w:p>
    <w:p w14:paraId="4833227B" w14:textId="77777777" w:rsidR="00672F2E" w:rsidRDefault="00672F2E" w:rsidP="00672F2E">
      <w:r>
        <w:rPr>
          <w:rFonts w:ascii="Arial" w:hAnsi="Arial" w:cs="Arial"/>
          <w:sz w:val="20"/>
          <w:szCs w:val="20"/>
        </w:rPr>
        <w:t>Chimney Rock Mortgage</w:t>
      </w:r>
    </w:p>
    <w:p w14:paraId="4833227C" w14:textId="77777777" w:rsidR="00672F2E" w:rsidRDefault="00672F2E" w:rsidP="00672F2E">
      <w:r>
        <w:rPr>
          <w:rFonts w:ascii="Arial" w:hAnsi="Arial" w:cs="Arial"/>
          <w:sz w:val="20"/>
          <w:szCs w:val="20"/>
        </w:rPr>
        <w:t xml:space="preserve">421 W. </w:t>
      </w:r>
      <w:smartTag w:uri="urn:schemas-microsoft-com:office:smarttags" w:element="place">
        <w:smartTag w:uri="urn:schemas-microsoft-com:office:smarttags" w:element="City">
          <w:r>
            <w:rPr>
              <w:rFonts w:ascii="Arial" w:hAnsi="Arial" w:cs="Arial"/>
              <w:sz w:val="20"/>
              <w:szCs w:val="20"/>
            </w:rPr>
            <w:t>Riverside</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Suite</w:t>
          </w:r>
        </w:smartTag>
        <w:r>
          <w:rPr>
            <w:rFonts w:ascii="Arial" w:hAnsi="Arial" w:cs="Arial"/>
            <w:sz w:val="20"/>
            <w:szCs w:val="20"/>
          </w:rPr>
          <w:t xml:space="preserve"> 820</w:t>
        </w:r>
      </w:smartTag>
    </w:p>
    <w:p w14:paraId="4833227D" w14:textId="77777777" w:rsidR="00672F2E" w:rsidRDefault="00672F2E" w:rsidP="00672F2E">
      <w:smartTag w:uri="urn:schemas-microsoft-com:office:smarttags" w:element="place">
        <w:smartTag w:uri="urn:schemas-microsoft-com:office:smarttags" w:element="City">
          <w:r>
            <w:rPr>
              <w:rFonts w:ascii="Arial" w:hAnsi="Arial" w:cs="Arial"/>
              <w:sz w:val="20"/>
              <w:szCs w:val="20"/>
            </w:rPr>
            <w:t>Spokane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99201</w:t>
          </w:r>
        </w:smartTag>
      </w:smartTag>
    </w:p>
    <w:p w14:paraId="4833227E" w14:textId="77777777" w:rsidR="00672F2E" w:rsidRDefault="00672F2E" w:rsidP="00672F2E">
      <w:r>
        <w:rPr>
          <w:rFonts w:ascii="Arial" w:hAnsi="Arial" w:cs="Arial"/>
          <w:sz w:val="20"/>
          <w:szCs w:val="20"/>
        </w:rPr>
        <w:t>Cell       (509) 280-8173</w:t>
      </w:r>
    </w:p>
    <w:p w14:paraId="4833227F" w14:textId="77777777" w:rsidR="00672F2E" w:rsidRDefault="00672F2E" w:rsidP="00672F2E">
      <w:r>
        <w:rPr>
          <w:rFonts w:ascii="Arial" w:hAnsi="Arial" w:cs="Arial"/>
          <w:sz w:val="20"/>
          <w:szCs w:val="20"/>
        </w:rPr>
        <w:t>Office    (509) 747-1300</w:t>
      </w:r>
    </w:p>
    <w:p w14:paraId="48332280" w14:textId="77777777" w:rsidR="00672F2E" w:rsidRDefault="00672F2E" w:rsidP="00672F2E">
      <w:r>
        <w:rPr>
          <w:rFonts w:ascii="Arial" w:hAnsi="Arial" w:cs="Arial"/>
          <w:sz w:val="20"/>
          <w:szCs w:val="20"/>
        </w:rPr>
        <w:t>Fax       (509) 753-2148</w:t>
      </w:r>
    </w:p>
    <w:p w14:paraId="48332281" w14:textId="77777777" w:rsidR="00672F2E" w:rsidRDefault="00DB757F" w:rsidP="00672F2E">
      <w:hyperlink r:id="rId7" w:history="1">
        <w:r w:rsidR="00672F2E">
          <w:rPr>
            <w:rStyle w:val="Hyperlink"/>
            <w:rFonts w:ascii="Arial" w:hAnsi="Arial" w:cs="Arial"/>
            <w:sz w:val="20"/>
            <w:szCs w:val="20"/>
          </w:rPr>
          <w:t>www.chimneyrockmortgage.com</w:t>
        </w:r>
      </w:hyperlink>
    </w:p>
    <w:p w14:paraId="48332282" w14:textId="77777777" w:rsidR="00672F2E" w:rsidRDefault="00672F2E" w:rsidP="00672F2E">
      <w:r>
        <w:rPr>
          <w:rFonts w:ascii="Arial" w:hAnsi="Arial" w:cs="Arial"/>
          <w:sz w:val="20"/>
          <w:szCs w:val="20"/>
        </w:rPr>
        <w:t>MLO-4538</w:t>
      </w:r>
    </w:p>
    <w:p w14:paraId="48332283" w14:textId="77777777" w:rsidR="00672F2E" w:rsidRDefault="00672F2E" w:rsidP="00672F2E">
      <w:r>
        <w:t> </w:t>
      </w:r>
    </w:p>
    <w:bookmarkEnd w:id="0"/>
    <w:p w14:paraId="48332284" w14:textId="77777777" w:rsidR="00672F2E" w:rsidRDefault="00672F2E" w:rsidP="00672F2E"/>
    <w:p w14:paraId="48332285" w14:textId="77777777" w:rsidR="004714D4" w:rsidRDefault="004714D4"/>
    <w:sectPr w:rsidR="004714D4" w:rsidSect="00672F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F2E"/>
    <w:rsid w:val="004714D4"/>
    <w:rsid w:val="00672F2E"/>
    <w:rsid w:val="00DB757F"/>
    <w:rsid w:val="00F9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332268"/>
  <w15:docId w15:val="{F99E84BF-5EE3-438A-BFE0-121598B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F2E"/>
    <w:rPr>
      <w:color w:val="0000FF"/>
      <w:u w:val="single"/>
    </w:rPr>
  </w:style>
  <w:style w:type="paragraph" w:customStyle="1" w:styleId="default">
    <w:name w:val="default"/>
    <w:basedOn w:val="Normal"/>
    <w:rsid w:val="00672F2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himneyrockmortga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B2F9876A-343B-4E6F-8F59-056D49E7B9FB}">
  <ds:schemaRefs>
    <ds:schemaRef ds:uri="http://schemas.microsoft.com/sharepoint/v3/contenttype/forms"/>
  </ds:schemaRefs>
</ds:datastoreItem>
</file>

<file path=customXml/itemProps2.xml><?xml version="1.0" encoding="utf-8"?>
<ds:datastoreItem xmlns:ds="http://schemas.openxmlformats.org/officeDocument/2006/customXml" ds:itemID="{131ED349-7BA3-4F4D-B114-2D317CD9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493F9-209E-46F4-B0E9-953460BCFB2C}">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946b7fcb-b6b4-4ef2-be73-dba3a580ace5"/>
    <ds:schemaRef ds:uri="054c2eff-e66d-4d5e-80b6-2379bad19f6c"/>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2025-02-24T19:49:00Z</dcterms:created>
  <dcterms:modified xsi:type="dcterms:W3CDTF">2025-02-24T19:49:00Z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